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7220" w14:textId="77777777" w:rsidR="004E3AC5" w:rsidRPr="00BE28C4" w:rsidRDefault="004E3AC5">
      <w:pPr>
        <w:spacing w:line="240" w:lineRule="auto"/>
        <w:outlineLvl w:val="0"/>
        <w:rPr>
          <w:b/>
          <w:szCs w:val="22"/>
        </w:rPr>
      </w:pPr>
    </w:p>
    <w:p w14:paraId="54F60CD7" w14:textId="77777777" w:rsidR="004E3AC5" w:rsidRPr="00BE28C4" w:rsidRDefault="004E3AC5">
      <w:pPr>
        <w:spacing w:line="240" w:lineRule="auto"/>
        <w:outlineLvl w:val="0"/>
        <w:rPr>
          <w:b/>
          <w:szCs w:val="22"/>
        </w:rPr>
      </w:pPr>
    </w:p>
    <w:p w14:paraId="7E577E6D" w14:textId="77777777" w:rsidR="004E3AC5" w:rsidRPr="00BE28C4" w:rsidRDefault="004E3AC5">
      <w:pPr>
        <w:spacing w:line="240" w:lineRule="auto"/>
        <w:outlineLvl w:val="0"/>
        <w:rPr>
          <w:b/>
          <w:szCs w:val="22"/>
        </w:rPr>
      </w:pPr>
    </w:p>
    <w:p w14:paraId="7D9A1221" w14:textId="77777777" w:rsidR="004E3AC5" w:rsidRPr="00BE28C4" w:rsidRDefault="004E3AC5">
      <w:pPr>
        <w:spacing w:line="240" w:lineRule="auto"/>
        <w:outlineLvl w:val="0"/>
        <w:rPr>
          <w:b/>
          <w:szCs w:val="22"/>
        </w:rPr>
      </w:pPr>
    </w:p>
    <w:p w14:paraId="1AB689FB" w14:textId="77777777" w:rsidR="004E3AC5" w:rsidRPr="00BE28C4" w:rsidRDefault="004E3AC5">
      <w:pPr>
        <w:spacing w:line="240" w:lineRule="auto"/>
        <w:outlineLvl w:val="0"/>
        <w:rPr>
          <w:b/>
          <w:szCs w:val="22"/>
        </w:rPr>
      </w:pPr>
    </w:p>
    <w:p w14:paraId="67D81DC0" w14:textId="77777777" w:rsidR="004E3AC5" w:rsidRPr="00BE28C4" w:rsidRDefault="004E3AC5">
      <w:pPr>
        <w:spacing w:line="240" w:lineRule="auto"/>
        <w:outlineLvl w:val="0"/>
        <w:rPr>
          <w:b/>
          <w:szCs w:val="22"/>
        </w:rPr>
      </w:pPr>
    </w:p>
    <w:p w14:paraId="68FA3819" w14:textId="77777777" w:rsidR="004E3AC5" w:rsidRPr="00BE28C4" w:rsidRDefault="004E3AC5">
      <w:pPr>
        <w:spacing w:line="240" w:lineRule="auto"/>
        <w:outlineLvl w:val="0"/>
        <w:rPr>
          <w:b/>
          <w:szCs w:val="22"/>
        </w:rPr>
      </w:pPr>
    </w:p>
    <w:p w14:paraId="6246FFC1" w14:textId="77777777" w:rsidR="004E3AC5" w:rsidRPr="00BE28C4" w:rsidRDefault="004E3AC5">
      <w:pPr>
        <w:spacing w:line="240" w:lineRule="auto"/>
        <w:outlineLvl w:val="0"/>
        <w:rPr>
          <w:b/>
          <w:szCs w:val="22"/>
        </w:rPr>
      </w:pPr>
    </w:p>
    <w:p w14:paraId="58CE85CC" w14:textId="77777777" w:rsidR="004E3AC5" w:rsidRPr="00BE28C4" w:rsidRDefault="004E3AC5">
      <w:pPr>
        <w:spacing w:line="240" w:lineRule="auto"/>
        <w:outlineLvl w:val="0"/>
        <w:rPr>
          <w:b/>
          <w:szCs w:val="22"/>
        </w:rPr>
      </w:pPr>
    </w:p>
    <w:p w14:paraId="05EFD887" w14:textId="77777777" w:rsidR="004E3AC5" w:rsidRPr="00BE28C4" w:rsidRDefault="004E3AC5">
      <w:pPr>
        <w:spacing w:line="240" w:lineRule="auto"/>
        <w:outlineLvl w:val="0"/>
        <w:rPr>
          <w:b/>
          <w:szCs w:val="22"/>
        </w:rPr>
      </w:pPr>
    </w:p>
    <w:p w14:paraId="5D52585B" w14:textId="77777777" w:rsidR="004E3AC5" w:rsidRPr="00BE28C4" w:rsidRDefault="004E3AC5">
      <w:pPr>
        <w:spacing w:line="240" w:lineRule="auto"/>
        <w:outlineLvl w:val="0"/>
        <w:rPr>
          <w:b/>
          <w:szCs w:val="22"/>
        </w:rPr>
      </w:pPr>
    </w:p>
    <w:p w14:paraId="3B14866E" w14:textId="77777777" w:rsidR="004E3AC5" w:rsidRPr="00BE28C4" w:rsidRDefault="004E3AC5">
      <w:pPr>
        <w:spacing w:line="240" w:lineRule="auto"/>
        <w:outlineLvl w:val="0"/>
        <w:rPr>
          <w:b/>
          <w:szCs w:val="22"/>
        </w:rPr>
      </w:pPr>
    </w:p>
    <w:p w14:paraId="1D760EF7" w14:textId="77777777" w:rsidR="004E3AC5" w:rsidRPr="00BE28C4" w:rsidRDefault="004E3AC5">
      <w:pPr>
        <w:spacing w:line="240" w:lineRule="auto"/>
        <w:outlineLvl w:val="0"/>
        <w:rPr>
          <w:b/>
          <w:szCs w:val="22"/>
        </w:rPr>
      </w:pPr>
    </w:p>
    <w:p w14:paraId="5528EDE0" w14:textId="77777777" w:rsidR="004E3AC5" w:rsidRPr="00BE28C4" w:rsidRDefault="004E3AC5">
      <w:pPr>
        <w:spacing w:line="240" w:lineRule="auto"/>
        <w:outlineLvl w:val="0"/>
        <w:rPr>
          <w:b/>
          <w:szCs w:val="22"/>
        </w:rPr>
      </w:pPr>
    </w:p>
    <w:p w14:paraId="1E3A838B" w14:textId="77777777" w:rsidR="004E3AC5" w:rsidRPr="00BE28C4" w:rsidRDefault="004E3AC5">
      <w:pPr>
        <w:spacing w:line="240" w:lineRule="auto"/>
        <w:outlineLvl w:val="0"/>
        <w:rPr>
          <w:b/>
          <w:szCs w:val="22"/>
        </w:rPr>
      </w:pPr>
    </w:p>
    <w:p w14:paraId="45D524D1" w14:textId="77777777" w:rsidR="004E3AC5" w:rsidRPr="00BE28C4" w:rsidRDefault="004E3AC5">
      <w:pPr>
        <w:spacing w:line="240" w:lineRule="auto"/>
        <w:outlineLvl w:val="0"/>
        <w:rPr>
          <w:b/>
          <w:szCs w:val="22"/>
        </w:rPr>
      </w:pPr>
    </w:p>
    <w:p w14:paraId="1CF23E0B" w14:textId="77777777" w:rsidR="004E3AC5" w:rsidRPr="00BE28C4" w:rsidRDefault="004E3AC5">
      <w:pPr>
        <w:spacing w:line="240" w:lineRule="auto"/>
        <w:outlineLvl w:val="0"/>
        <w:rPr>
          <w:b/>
          <w:szCs w:val="22"/>
        </w:rPr>
      </w:pPr>
    </w:p>
    <w:p w14:paraId="1442F6DA" w14:textId="77777777" w:rsidR="004E3AC5" w:rsidRPr="00BE28C4" w:rsidRDefault="004E3AC5">
      <w:pPr>
        <w:spacing w:line="240" w:lineRule="auto"/>
        <w:outlineLvl w:val="0"/>
        <w:rPr>
          <w:b/>
          <w:szCs w:val="22"/>
        </w:rPr>
      </w:pPr>
    </w:p>
    <w:p w14:paraId="6804CE47" w14:textId="77777777" w:rsidR="004E3AC5" w:rsidRPr="00BE28C4" w:rsidRDefault="004E3AC5">
      <w:pPr>
        <w:spacing w:line="240" w:lineRule="auto"/>
        <w:outlineLvl w:val="0"/>
        <w:rPr>
          <w:b/>
          <w:szCs w:val="22"/>
        </w:rPr>
      </w:pPr>
    </w:p>
    <w:p w14:paraId="1B6A65C4" w14:textId="77777777" w:rsidR="004E3AC5" w:rsidRPr="00BE28C4" w:rsidRDefault="004E3AC5">
      <w:pPr>
        <w:spacing w:line="240" w:lineRule="auto"/>
        <w:outlineLvl w:val="0"/>
        <w:rPr>
          <w:b/>
          <w:szCs w:val="22"/>
        </w:rPr>
      </w:pPr>
    </w:p>
    <w:p w14:paraId="5BCEE03A" w14:textId="77777777" w:rsidR="004E3AC5" w:rsidRPr="00BE28C4" w:rsidRDefault="004E3AC5">
      <w:pPr>
        <w:spacing w:line="240" w:lineRule="auto"/>
        <w:outlineLvl w:val="0"/>
        <w:rPr>
          <w:b/>
          <w:szCs w:val="22"/>
        </w:rPr>
      </w:pPr>
    </w:p>
    <w:p w14:paraId="2A7CEA9C" w14:textId="77777777" w:rsidR="004E3AC5" w:rsidRPr="00BE28C4" w:rsidRDefault="004E3AC5">
      <w:pPr>
        <w:spacing w:line="240" w:lineRule="auto"/>
        <w:outlineLvl w:val="0"/>
        <w:rPr>
          <w:b/>
          <w:szCs w:val="22"/>
        </w:rPr>
      </w:pPr>
    </w:p>
    <w:p w14:paraId="15413ED6" w14:textId="77777777" w:rsidR="004E3AC5" w:rsidRPr="00BE28C4" w:rsidRDefault="004E3AC5">
      <w:pPr>
        <w:spacing w:line="240" w:lineRule="auto"/>
        <w:outlineLvl w:val="0"/>
        <w:rPr>
          <w:b/>
          <w:szCs w:val="22"/>
        </w:rPr>
      </w:pPr>
    </w:p>
    <w:p w14:paraId="03145B42" w14:textId="77777777" w:rsidR="004E3AC5" w:rsidRPr="00BE28C4" w:rsidRDefault="00907ADD">
      <w:pPr>
        <w:spacing w:line="240" w:lineRule="auto"/>
        <w:jc w:val="center"/>
        <w:outlineLvl w:val="0"/>
        <w:rPr>
          <w:szCs w:val="22"/>
        </w:rPr>
      </w:pPr>
      <w:r w:rsidRPr="00BE28C4">
        <w:rPr>
          <w:b/>
          <w:szCs w:val="22"/>
        </w:rPr>
        <w:t>ANEKS I</w:t>
      </w:r>
    </w:p>
    <w:p w14:paraId="3EFD9957" w14:textId="77777777" w:rsidR="004E3AC5" w:rsidRPr="00BE28C4" w:rsidRDefault="004E3AC5">
      <w:pPr>
        <w:spacing w:line="240" w:lineRule="auto"/>
        <w:jc w:val="center"/>
        <w:outlineLvl w:val="0"/>
        <w:rPr>
          <w:szCs w:val="22"/>
        </w:rPr>
      </w:pPr>
    </w:p>
    <w:p w14:paraId="21F07873" w14:textId="77777777" w:rsidR="004E3AC5" w:rsidRPr="00BE28C4" w:rsidRDefault="00907ADD">
      <w:pPr>
        <w:pStyle w:val="TitleA"/>
        <w:rPr>
          <w:szCs w:val="22"/>
        </w:rPr>
      </w:pPr>
      <w:r w:rsidRPr="00BE28C4">
        <w:rPr>
          <w:szCs w:val="22"/>
        </w:rPr>
        <w:t>CHARAKTERYSTYKA PRODUKTU LECZNICZEGO</w:t>
      </w:r>
    </w:p>
    <w:p w14:paraId="21499617" w14:textId="77777777" w:rsidR="004E3AC5" w:rsidRPr="00BE28C4" w:rsidRDefault="00907ADD">
      <w:pPr>
        <w:widowControl w:val="0"/>
        <w:spacing w:line="240" w:lineRule="auto"/>
        <w:rPr>
          <w:szCs w:val="22"/>
        </w:rPr>
      </w:pPr>
      <w:r w:rsidRPr="00BE28C4">
        <w:rPr>
          <w:szCs w:val="22"/>
        </w:rPr>
        <w:br w:type="page"/>
      </w:r>
      <w:r w:rsidRPr="00BE28C4">
        <w:rPr>
          <w:noProof/>
          <w:lang w:bidi="ar-SA"/>
        </w:rPr>
        <w:lastRenderedPageBreak/>
        <w:drawing>
          <wp:inline distT="0" distB="0" distL="0" distR="0" wp14:anchorId="59FAAACE" wp14:editId="00777835">
            <wp:extent cx="200025" cy="171450"/>
            <wp:effectExtent l="0" t="0" r="0" b="0"/>
            <wp:docPr id="2" name="Picture 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BE28C4">
        <w:rPr>
          <w:szCs w:val="22"/>
        </w:rPr>
        <w:t xml:space="preserve"> Niniejszy produkt leczniczy będzie dodatkowo monitorowany. Umożliwi to szybkie zidentyfikowanie nowych informacji o bezpieczeństwie. Osoby należące do fachowego personelu medycznego powinny zgłaszać wszelkie podejrzewane działania niepożądane. Aby dowiedzieć się, jak zgłaszać działania niepożądane - patrz punkt 4.8.</w:t>
      </w:r>
    </w:p>
    <w:p w14:paraId="1F0FC0AE" w14:textId="77777777" w:rsidR="004E3AC5" w:rsidRPr="00BE28C4" w:rsidRDefault="004E3AC5">
      <w:pPr>
        <w:spacing w:line="240" w:lineRule="auto"/>
        <w:rPr>
          <w:b/>
          <w:szCs w:val="22"/>
        </w:rPr>
      </w:pPr>
    </w:p>
    <w:p w14:paraId="3A5FA243" w14:textId="77777777" w:rsidR="004E3AC5" w:rsidRPr="00BE28C4" w:rsidRDefault="004E3AC5">
      <w:pPr>
        <w:spacing w:line="240" w:lineRule="auto"/>
        <w:rPr>
          <w:b/>
          <w:szCs w:val="22"/>
        </w:rPr>
      </w:pPr>
    </w:p>
    <w:p w14:paraId="01E0B006" w14:textId="77777777" w:rsidR="004E3AC5" w:rsidRPr="00BE28C4" w:rsidRDefault="00907ADD">
      <w:pPr>
        <w:spacing w:line="240" w:lineRule="auto"/>
        <w:rPr>
          <w:szCs w:val="22"/>
        </w:rPr>
      </w:pPr>
      <w:r w:rsidRPr="00BE28C4">
        <w:rPr>
          <w:b/>
          <w:szCs w:val="22"/>
        </w:rPr>
        <w:t>1.</w:t>
      </w:r>
      <w:r w:rsidRPr="00BE28C4">
        <w:rPr>
          <w:szCs w:val="22"/>
        </w:rPr>
        <w:tab/>
      </w:r>
      <w:r w:rsidRPr="00BE28C4">
        <w:rPr>
          <w:b/>
          <w:szCs w:val="22"/>
        </w:rPr>
        <w:t>NAZWA PRODUKTU LECZNICZEGO</w:t>
      </w:r>
    </w:p>
    <w:p w14:paraId="23CD74D4" w14:textId="77777777" w:rsidR="004E3AC5" w:rsidRPr="00BE28C4" w:rsidRDefault="004E3AC5">
      <w:pPr>
        <w:spacing w:line="240" w:lineRule="auto"/>
        <w:rPr>
          <w:iCs/>
          <w:szCs w:val="22"/>
        </w:rPr>
      </w:pPr>
    </w:p>
    <w:p w14:paraId="1C07A7A9" w14:textId="77777777" w:rsidR="004E3AC5" w:rsidRPr="00BE28C4" w:rsidRDefault="00907ADD">
      <w:pPr>
        <w:autoSpaceDE w:val="0"/>
        <w:autoSpaceDN w:val="0"/>
        <w:adjustRightInd w:val="0"/>
        <w:spacing w:line="240" w:lineRule="auto"/>
        <w:rPr>
          <w:szCs w:val="22"/>
        </w:rPr>
      </w:pPr>
      <w:proofErr w:type="spellStart"/>
      <w:r w:rsidRPr="00BE28C4">
        <w:rPr>
          <w:szCs w:val="22"/>
        </w:rPr>
        <w:t>Mysimba</w:t>
      </w:r>
      <w:proofErr w:type="spellEnd"/>
      <w:r w:rsidRPr="00BE28C4">
        <w:rPr>
          <w:szCs w:val="22"/>
        </w:rPr>
        <w:t>, 8 mg + 90 mg, tabletki o przedłużonym uwalnianiu</w:t>
      </w:r>
    </w:p>
    <w:p w14:paraId="6CB7C32D" w14:textId="77777777" w:rsidR="004E3AC5" w:rsidRPr="00BE28C4" w:rsidRDefault="004E3AC5">
      <w:pPr>
        <w:widowControl w:val="0"/>
        <w:spacing w:line="240" w:lineRule="auto"/>
        <w:rPr>
          <w:bCs/>
          <w:szCs w:val="22"/>
        </w:rPr>
      </w:pPr>
    </w:p>
    <w:p w14:paraId="60C78BCF" w14:textId="77777777" w:rsidR="004E3AC5" w:rsidRPr="00BE28C4" w:rsidRDefault="004E3AC5">
      <w:pPr>
        <w:widowControl w:val="0"/>
        <w:spacing w:line="240" w:lineRule="auto"/>
        <w:rPr>
          <w:bCs/>
          <w:szCs w:val="22"/>
        </w:rPr>
      </w:pPr>
    </w:p>
    <w:p w14:paraId="624B64C8" w14:textId="77777777" w:rsidR="004E3AC5" w:rsidRPr="00BE28C4" w:rsidRDefault="00907ADD">
      <w:pPr>
        <w:widowControl w:val="0"/>
        <w:spacing w:line="240" w:lineRule="auto"/>
        <w:rPr>
          <w:szCs w:val="22"/>
        </w:rPr>
      </w:pPr>
      <w:r w:rsidRPr="00BE28C4">
        <w:rPr>
          <w:b/>
          <w:szCs w:val="22"/>
        </w:rPr>
        <w:t>2.</w:t>
      </w:r>
      <w:r w:rsidRPr="00BE28C4">
        <w:rPr>
          <w:szCs w:val="22"/>
        </w:rPr>
        <w:tab/>
      </w:r>
      <w:r w:rsidRPr="00BE28C4">
        <w:rPr>
          <w:b/>
          <w:szCs w:val="22"/>
        </w:rPr>
        <w:t>SKŁAD JAKOŚCIOWY I ILOŚCIOWY</w:t>
      </w:r>
    </w:p>
    <w:p w14:paraId="01662BAB" w14:textId="77777777" w:rsidR="004E3AC5" w:rsidRPr="00BE28C4" w:rsidRDefault="004E3AC5">
      <w:pPr>
        <w:widowControl w:val="0"/>
        <w:spacing w:line="240" w:lineRule="auto"/>
        <w:rPr>
          <w:bCs/>
          <w:szCs w:val="22"/>
        </w:rPr>
      </w:pPr>
    </w:p>
    <w:p w14:paraId="47A5FEE3" w14:textId="77777777" w:rsidR="004E3AC5" w:rsidRPr="00BE28C4" w:rsidRDefault="00907ADD">
      <w:pPr>
        <w:widowControl w:val="0"/>
        <w:spacing w:line="240" w:lineRule="auto"/>
        <w:rPr>
          <w:bCs/>
          <w:szCs w:val="22"/>
        </w:rPr>
      </w:pPr>
      <w:r w:rsidRPr="00BE28C4">
        <w:rPr>
          <w:szCs w:val="22"/>
        </w:rPr>
        <w:t xml:space="preserve">Każda tabletka zawiera 8 mg </w:t>
      </w:r>
      <w:proofErr w:type="spellStart"/>
      <w:r w:rsidRPr="00BE28C4">
        <w:rPr>
          <w:szCs w:val="22"/>
        </w:rPr>
        <w:t>naltreksonu</w:t>
      </w:r>
      <w:proofErr w:type="spellEnd"/>
      <w:r w:rsidRPr="00BE28C4">
        <w:rPr>
          <w:szCs w:val="22"/>
        </w:rPr>
        <w:t xml:space="preserve"> chlorowodorku, co odpowiada 7,2 mg </w:t>
      </w:r>
      <w:proofErr w:type="spellStart"/>
      <w:proofErr w:type="gramStart"/>
      <w:r w:rsidRPr="00BE28C4">
        <w:rPr>
          <w:szCs w:val="22"/>
        </w:rPr>
        <w:t>naltreksonu</w:t>
      </w:r>
      <w:proofErr w:type="spellEnd"/>
      <w:r w:rsidRPr="00BE28C4">
        <w:rPr>
          <w:szCs w:val="22"/>
        </w:rPr>
        <w:t>,</w:t>
      </w:r>
      <w:proofErr w:type="gramEnd"/>
      <w:r w:rsidRPr="00BE28C4">
        <w:rPr>
          <w:szCs w:val="22"/>
        </w:rPr>
        <w:t xml:space="preserve"> oraz 90 mg </w:t>
      </w:r>
      <w:proofErr w:type="spellStart"/>
      <w:r w:rsidRPr="00BE28C4">
        <w:rPr>
          <w:szCs w:val="22"/>
        </w:rPr>
        <w:t>bupropionu</w:t>
      </w:r>
      <w:proofErr w:type="spellEnd"/>
      <w:r w:rsidRPr="00BE28C4">
        <w:rPr>
          <w:szCs w:val="22"/>
        </w:rPr>
        <w:t xml:space="preserve"> chlorowodorku, co odpowiada 78 mg </w:t>
      </w:r>
      <w:proofErr w:type="spellStart"/>
      <w:r w:rsidRPr="00BE28C4">
        <w:rPr>
          <w:szCs w:val="22"/>
        </w:rPr>
        <w:t>bupropionu</w:t>
      </w:r>
      <w:proofErr w:type="spellEnd"/>
      <w:r w:rsidRPr="00BE28C4">
        <w:rPr>
          <w:szCs w:val="22"/>
        </w:rPr>
        <w:t>.</w:t>
      </w:r>
    </w:p>
    <w:p w14:paraId="4630140C" w14:textId="77777777" w:rsidR="004E3AC5" w:rsidRPr="00BE28C4" w:rsidRDefault="004E3AC5">
      <w:pPr>
        <w:widowControl w:val="0"/>
        <w:spacing w:line="240" w:lineRule="auto"/>
        <w:rPr>
          <w:b/>
          <w:bCs/>
          <w:szCs w:val="22"/>
        </w:rPr>
      </w:pPr>
    </w:p>
    <w:p w14:paraId="3D7DDD89" w14:textId="77777777" w:rsidR="004E3AC5" w:rsidRPr="00BE28C4" w:rsidRDefault="00907ADD">
      <w:pPr>
        <w:spacing w:line="240" w:lineRule="auto"/>
        <w:outlineLvl w:val="0"/>
        <w:rPr>
          <w:szCs w:val="22"/>
          <w:u w:val="single"/>
        </w:rPr>
      </w:pPr>
      <w:r w:rsidRPr="00BE28C4">
        <w:rPr>
          <w:szCs w:val="22"/>
          <w:u w:val="single"/>
        </w:rPr>
        <w:t>Substancja pomocnicza o znanym działaniu:</w:t>
      </w:r>
    </w:p>
    <w:p w14:paraId="20A8AE0F" w14:textId="77777777" w:rsidR="004E3AC5" w:rsidRPr="00BE28C4" w:rsidRDefault="00907ADD">
      <w:pPr>
        <w:spacing w:line="240" w:lineRule="auto"/>
        <w:outlineLvl w:val="0"/>
        <w:rPr>
          <w:szCs w:val="22"/>
        </w:rPr>
      </w:pPr>
      <w:r w:rsidRPr="00BE28C4">
        <w:rPr>
          <w:szCs w:val="22"/>
        </w:rPr>
        <w:t>Każda tabletka o przedłużonym uwalnianiu zawiera 73,2 mg laktozy (patrz punkt 4.4).</w:t>
      </w:r>
    </w:p>
    <w:p w14:paraId="022A2E66" w14:textId="77777777" w:rsidR="004E3AC5" w:rsidRPr="00BE28C4" w:rsidRDefault="004E3AC5">
      <w:pPr>
        <w:spacing w:line="240" w:lineRule="auto"/>
        <w:outlineLvl w:val="0"/>
        <w:rPr>
          <w:szCs w:val="22"/>
        </w:rPr>
      </w:pPr>
    </w:p>
    <w:p w14:paraId="2742B455" w14:textId="77777777" w:rsidR="004E3AC5" w:rsidRPr="00BE28C4" w:rsidRDefault="00907ADD">
      <w:pPr>
        <w:spacing w:line="240" w:lineRule="auto"/>
        <w:outlineLvl w:val="0"/>
        <w:rPr>
          <w:szCs w:val="22"/>
        </w:rPr>
      </w:pPr>
      <w:r w:rsidRPr="00BE28C4">
        <w:rPr>
          <w:szCs w:val="22"/>
        </w:rPr>
        <w:t>Pełny wykaz substancji pomocniczych, patrz punkt 6.1.</w:t>
      </w:r>
    </w:p>
    <w:p w14:paraId="450CD9FA" w14:textId="77777777" w:rsidR="004E3AC5" w:rsidRPr="00BE28C4" w:rsidRDefault="004E3AC5">
      <w:pPr>
        <w:spacing w:line="240" w:lineRule="auto"/>
        <w:rPr>
          <w:szCs w:val="22"/>
        </w:rPr>
      </w:pPr>
    </w:p>
    <w:p w14:paraId="19132609" w14:textId="77777777" w:rsidR="004E3AC5" w:rsidRPr="00BE28C4" w:rsidRDefault="004E3AC5">
      <w:pPr>
        <w:spacing w:line="240" w:lineRule="auto"/>
        <w:rPr>
          <w:szCs w:val="22"/>
        </w:rPr>
      </w:pPr>
    </w:p>
    <w:p w14:paraId="0EA6F56C" w14:textId="77777777" w:rsidR="004E3AC5" w:rsidRPr="00BE28C4" w:rsidRDefault="00907ADD">
      <w:pPr>
        <w:spacing w:line="240" w:lineRule="auto"/>
        <w:ind w:left="567" w:hanging="567"/>
        <w:rPr>
          <w:caps/>
          <w:szCs w:val="22"/>
        </w:rPr>
      </w:pPr>
      <w:r w:rsidRPr="00BE28C4">
        <w:rPr>
          <w:b/>
          <w:szCs w:val="22"/>
        </w:rPr>
        <w:t>3.</w:t>
      </w:r>
      <w:r w:rsidRPr="00BE28C4">
        <w:rPr>
          <w:szCs w:val="22"/>
        </w:rPr>
        <w:tab/>
      </w:r>
      <w:r w:rsidRPr="00BE28C4">
        <w:rPr>
          <w:b/>
          <w:szCs w:val="22"/>
        </w:rPr>
        <w:t>POSTAĆ FARMACEUTYCZNA</w:t>
      </w:r>
    </w:p>
    <w:p w14:paraId="3621F505" w14:textId="77777777" w:rsidR="004E3AC5" w:rsidRPr="00BE28C4" w:rsidRDefault="004E3AC5">
      <w:pPr>
        <w:autoSpaceDE w:val="0"/>
        <w:autoSpaceDN w:val="0"/>
        <w:adjustRightInd w:val="0"/>
        <w:spacing w:line="240" w:lineRule="auto"/>
        <w:rPr>
          <w:szCs w:val="22"/>
        </w:rPr>
      </w:pPr>
    </w:p>
    <w:p w14:paraId="4FC190EA" w14:textId="77777777" w:rsidR="004E3AC5" w:rsidRPr="00BE28C4" w:rsidRDefault="00907ADD">
      <w:pPr>
        <w:spacing w:line="240" w:lineRule="auto"/>
        <w:rPr>
          <w:szCs w:val="22"/>
        </w:rPr>
      </w:pPr>
      <w:r w:rsidRPr="00BE28C4">
        <w:rPr>
          <w:szCs w:val="22"/>
        </w:rPr>
        <w:t>Tabletka o przedłużonym uwalnianiu.</w:t>
      </w:r>
    </w:p>
    <w:p w14:paraId="4FE14184" w14:textId="77777777" w:rsidR="004E3AC5" w:rsidRPr="00BE28C4" w:rsidRDefault="004E3AC5">
      <w:pPr>
        <w:spacing w:line="240" w:lineRule="auto"/>
        <w:rPr>
          <w:szCs w:val="22"/>
        </w:rPr>
      </w:pPr>
    </w:p>
    <w:p w14:paraId="0F9B3CFF" w14:textId="77777777" w:rsidR="004E3AC5" w:rsidRPr="00BE28C4" w:rsidRDefault="00907ADD">
      <w:pPr>
        <w:spacing w:line="240" w:lineRule="auto"/>
        <w:rPr>
          <w:szCs w:val="22"/>
        </w:rPr>
      </w:pPr>
      <w:r w:rsidRPr="00BE28C4">
        <w:rPr>
          <w:szCs w:val="22"/>
        </w:rPr>
        <w:t>Niebieskie, obustronnie wypukłe, okrągłe tabletki o średnicy 12-12,2 mm z wytłoczonym napisem „NB</w:t>
      </w:r>
      <w:r w:rsidRPr="00BE28C4">
        <w:rPr>
          <w:szCs w:val="22"/>
        </w:rPr>
        <w:noBreakHyphen/>
        <w:t>890” na jednej stronie.</w:t>
      </w:r>
    </w:p>
    <w:p w14:paraId="517FC685" w14:textId="77777777" w:rsidR="004E3AC5" w:rsidRPr="00BE28C4" w:rsidRDefault="004E3AC5">
      <w:pPr>
        <w:spacing w:line="240" w:lineRule="auto"/>
        <w:rPr>
          <w:szCs w:val="22"/>
        </w:rPr>
      </w:pPr>
    </w:p>
    <w:p w14:paraId="2DEFCBE3" w14:textId="77777777" w:rsidR="004E3AC5" w:rsidRPr="00BE28C4" w:rsidRDefault="004E3AC5">
      <w:pPr>
        <w:spacing w:line="240" w:lineRule="auto"/>
        <w:rPr>
          <w:szCs w:val="22"/>
        </w:rPr>
      </w:pPr>
    </w:p>
    <w:p w14:paraId="636D88B2" w14:textId="77777777" w:rsidR="004E3AC5" w:rsidRPr="00BE28C4" w:rsidRDefault="00907ADD">
      <w:pPr>
        <w:spacing w:line="240" w:lineRule="auto"/>
        <w:ind w:left="567" w:hanging="567"/>
        <w:rPr>
          <w:caps/>
          <w:szCs w:val="22"/>
        </w:rPr>
      </w:pPr>
      <w:r w:rsidRPr="00BE28C4">
        <w:rPr>
          <w:b/>
          <w:caps/>
          <w:szCs w:val="22"/>
        </w:rPr>
        <w:t>4.</w:t>
      </w:r>
      <w:r w:rsidRPr="00BE28C4">
        <w:rPr>
          <w:szCs w:val="22"/>
        </w:rPr>
        <w:tab/>
      </w:r>
      <w:r w:rsidRPr="00BE28C4">
        <w:rPr>
          <w:b/>
          <w:caps/>
          <w:szCs w:val="22"/>
        </w:rPr>
        <w:t>SZCZEGÓŁOWE DANE KLINICZNE</w:t>
      </w:r>
    </w:p>
    <w:p w14:paraId="7C220E92" w14:textId="77777777" w:rsidR="004E3AC5" w:rsidRPr="00BE28C4" w:rsidRDefault="004E3AC5">
      <w:pPr>
        <w:spacing w:line="240" w:lineRule="auto"/>
        <w:rPr>
          <w:szCs w:val="22"/>
        </w:rPr>
      </w:pPr>
    </w:p>
    <w:p w14:paraId="4195E52F" w14:textId="77777777" w:rsidR="004E3AC5" w:rsidRPr="00BE28C4" w:rsidRDefault="00907ADD">
      <w:pPr>
        <w:spacing w:line="240" w:lineRule="auto"/>
        <w:ind w:left="567" w:hanging="567"/>
        <w:outlineLvl w:val="0"/>
        <w:rPr>
          <w:szCs w:val="22"/>
        </w:rPr>
      </w:pPr>
      <w:r w:rsidRPr="00BE28C4">
        <w:rPr>
          <w:b/>
          <w:szCs w:val="22"/>
        </w:rPr>
        <w:t>4.1</w:t>
      </w:r>
      <w:r w:rsidRPr="00BE28C4">
        <w:rPr>
          <w:szCs w:val="22"/>
        </w:rPr>
        <w:tab/>
      </w:r>
      <w:r w:rsidRPr="00BE28C4">
        <w:rPr>
          <w:b/>
          <w:szCs w:val="22"/>
        </w:rPr>
        <w:t>Wskazania do stosowania</w:t>
      </w:r>
    </w:p>
    <w:p w14:paraId="2E861684" w14:textId="77777777" w:rsidR="004E3AC5" w:rsidRPr="00BE28C4" w:rsidRDefault="004E3AC5">
      <w:pPr>
        <w:spacing w:line="240" w:lineRule="auto"/>
        <w:rPr>
          <w:szCs w:val="22"/>
        </w:rPr>
      </w:pPr>
    </w:p>
    <w:p w14:paraId="691A82A5" w14:textId="77777777" w:rsidR="004E3AC5" w:rsidRPr="00BE28C4" w:rsidRDefault="00907ADD">
      <w:pPr>
        <w:spacing w:line="240" w:lineRule="auto"/>
        <w:rPr>
          <w:szCs w:val="22"/>
        </w:rPr>
      </w:pPr>
      <w:r w:rsidRPr="00BE28C4">
        <w:rPr>
          <w:szCs w:val="22"/>
        </w:rPr>
        <w:t xml:space="preserve">Produkt leczniczy </w:t>
      </w:r>
      <w:proofErr w:type="spellStart"/>
      <w:r w:rsidRPr="00BE28C4">
        <w:rPr>
          <w:szCs w:val="22"/>
        </w:rPr>
        <w:t>Mysimba</w:t>
      </w:r>
      <w:proofErr w:type="spellEnd"/>
      <w:r w:rsidRPr="00BE28C4">
        <w:rPr>
          <w:szCs w:val="22"/>
        </w:rPr>
        <w:t xml:space="preserve"> jest wskazany do stosowania jako uzupełnienie diety o obniżonej kaloryczności i zwiększonej aktywności fizycznej w celu obniżenia masy ciała u pacjentów dorosłych (w wieku ≥18 lat) z wyjściową wartością wskaźnika masy ciała (BMI, </w:t>
      </w:r>
      <w:r w:rsidRPr="00BE28C4">
        <w:rPr>
          <w:i/>
          <w:szCs w:val="22"/>
        </w:rPr>
        <w:t>body mass index</w:t>
      </w:r>
      <w:r w:rsidRPr="00BE28C4">
        <w:rPr>
          <w:szCs w:val="22"/>
        </w:rPr>
        <w:t>) wynoszącą:</w:t>
      </w:r>
    </w:p>
    <w:p w14:paraId="3912D2BA" w14:textId="77777777" w:rsidR="004E3AC5" w:rsidRPr="00BE28C4" w:rsidRDefault="00907ADD">
      <w:pPr>
        <w:numPr>
          <w:ilvl w:val="0"/>
          <w:numId w:val="10"/>
        </w:numPr>
        <w:spacing w:line="240" w:lineRule="auto"/>
        <w:rPr>
          <w:szCs w:val="22"/>
        </w:rPr>
      </w:pPr>
      <w:r w:rsidRPr="00BE28C4">
        <w:rPr>
          <w:szCs w:val="22"/>
        </w:rPr>
        <w:t>≥30 kg/m</w:t>
      </w:r>
      <w:r w:rsidRPr="00BE28C4">
        <w:rPr>
          <w:szCs w:val="22"/>
          <w:vertAlign w:val="superscript"/>
        </w:rPr>
        <w:t>2 </w:t>
      </w:r>
      <w:r w:rsidRPr="00BE28C4">
        <w:rPr>
          <w:szCs w:val="22"/>
        </w:rPr>
        <w:t>(otyłość),</w:t>
      </w:r>
    </w:p>
    <w:p w14:paraId="222AFACB" w14:textId="77777777" w:rsidR="004E3AC5" w:rsidRPr="00BE28C4" w:rsidRDefault="00907ADD">
      <w:pPr>
        <w:numPr>
          <w:ilvl w:val="0"/>
          <w:numId w:val="10"/>
        </w:numPr>
        <w:spacing w:line="240" w:lineRule="auto"/>
        <w:rPr>
          <w:szCs w:val="22"/>
        </w:rPr>
      </w:pPr>
      <w:r w:rsidRPr="00BE28C4">
        <w:rPr>
          <w:szCs w:val="22"/>
        </w:rPr>
        <w:t>≥27 kg/m</w:t>
      </w:r>
      <w:r w:rsidRPr="00BE28C4">
        <w:rPr>
          <w:szCs w:val="22"/>
          <w:vertAlign w:val="superscript"/>
        </w:rPr>
        <w:t>2 </w:t>
      </w:r>
      <w:r w:rsidRPr="00BE28C4">
        <w:rPr>
          <w:szCs w:val="22"/>
        </w:rPr>
        <w:t>do &lt;30 kg/m</w:t>
      </w:r>
      <w:r w:rsidRPr="00BE28C4">
        <w:rPr>
          <w:szCs w:val="22"/>
          <w:vertAlign w:val="superscript"/>
        </w:rPr>
        <w:t>2 </w:t>
      </w:r>
      <w:r w:rsidRPr="00BE28C4">
        <w:rPr>
          <w:szCs w:val="22"/>
        </w:rPr>
        <w:t xml:space="preserve">(nadwaga), jeśli u pacjenta występuje jedna lub więcej chorób związanych z otyłością (np. cukrzyca typu 2, </w:t>
      </w:r>
      <w:proofErr w:type="spellStart"/>
      <w:r w:rsidRPr="00BE28C4">
        <w:rPr>
          <w:szCs w:val="22"/>
        </w:rPr>
        <w:t>dyslipidemia</w:t>
      </w:r>
      <w:proofErr w:type="spellEnd"/>
      <w:r w:rsidRPr="00BE28C4">
        <w:rPr>
          <w:szCs w:val="22"/>
        </w:rPr>
        <w:t>, wyrównane nadciśnienie tętnicze).</w:t>
      </w:r>
    </w:p>
    <w:p w14:paraId="65E413B0" w14:textId="77777777" w:rsidR="004E3AC5" w:rsidRPr="00BE28C4" w:rsidRDefault="004E3AC5">
      <w:pPr>
        <w:spacing w:line="240" w:lineRule="auto"/>
        <w:rPr>
          <w:szCs w:val="22"/>
        </w:rPr>
      </w:pPr>
    </w:p>
    <w:p w14:paraId="79D42DE3" w14:textId="77777777" w:rsidR="004E3AC5" w:rsidRPr="00BE28C4" w:rsidRDefault="00907ADD">
      <w:pPr>
        <w:spacing w:line="240" w:lineRule="auto"/>
        <w:rPr>
          <w:szCs w:val="22"/>
        </w:rPr>
      </w:pPr>
      <w:r w:rsidRPr="00BE28C4">
        <w:rPr>
          <w:szCs w:val="22"/>
        </w:rPr>
        <w:t xml:space="preserve">Produkt leczniczy </w:t>
      </w:r>
      <w:proofErr w:type="spellStart"/>
      <w:r w:rsidRPr="00BE28C4">
        <w:rPr>
          <w:szCs w:val="22"/>
        </w:rPr>
        <w:t>Mysimba</w:t>
      </w:r>
      <w:proofErr w:type="spellEnd"/>
      <w:r w:rsidRPr="00BE28C4">
        <w:rPr>
          <w:szCs w:val="22"/>
        </w:rPr>
        <w:t xml:space="preserve"> należy odstawić po 16 tygodniach stosowania, jeśli masa ciała pacjenta nie uległa obniżeniu o co najmniej 5% początkowej masy ciała (patrz punkt 5.1).</w:t>
      </w:r>
    </w:p>
    <w:p w14:paraId="5BF14D55" w14:textId="77777777" w:rsidR="004E3AC5" w:rsidRPr="00BE28C4" w:rsidRDefault="004E3AC5">
      <w:pPr>
        <w:spacing w:line="240" w:lineRule="auto"/>
        <w:rPr>
          <w:szCs w:val="22"/>
        </w:rPr>
      </w:pPr>
    </w:p>
    <w:p w14:paraId="5330970F" w14:textId="77777777" w:rsidR="004E3AC5" w:rsidRPr="00BE28C4" w:rsidRDefault="00907ADD">
      <w:pPr>
        <w:numPr>
          <w:ilvl w:val="1"/>
          <w:numId w:val="4"/>
        </w:numPr>
        <w:tabs>
          <w:tab w:val="clear" w:pos="570"/>
          <w:tab w:val="left" w:pos="567"/>
        </w:tabs>
        <w:spacing w:line="240" w:lineRule="auto"/>
        <w:outlineLvl w:val="0"/>
        <w:rPr>
          <w:b/>
          <w:szCs w:val="22"/>
        </w:rPr>
      </w:pPr>
      <w:r w:rsidRPr="00BE28C4">
        <w:rPr>
          <w:b/>
          <w:szCs w:val="22"/>
        </w:rPr>
        <w:t>Dawkowanie i sposób podawania</w:t>
      </w:r>
    </w:p>
    <w:p w14:paraId="0A200AD8" w14:textId="77777777" w:rsidR="004E3AC5" w:rsidRPr="00BE28C4" w:rsidRDefault="004E3AC5">
      <w:pPr>
        <w:spacing w:line="240" w:lineRule="auto"/>
        <w:outlineLvl w:val="0"/>
        <w:rPr>
          <w:bCs/>
          <w:szCs w:val="22"/>
        </w:rPr>
      </w:pPr>
    </w:p>
    <w:p w14:paraId="0A4CC5A2" w14:textId="77777777" w:rsidR="004E3AC5" w:rsidRPr="00BE28C4" w:rsidRDefault="00907ADD">
      <w:pPr>
        <w:spacing w:line="240" w:lineRule="auto"/>
        <w:rPr>
          <w:szCs w:val="22"/>
          <w:u w:val="single"/>
        </w:rPr>
      </w:pPr>
      <w:r w:rsidRPr="00BE28C4">
        <w:rPr>
          <w:szCs w:val="22"/>
          <w:u w:val="single"/>
        </w:rPr>
        <w:t>Dawkowanie</w:t>
      </w:r>
    </w:p>
    <w:p w14:paraId="3E467E11" w14:textId="77777777" w:rsidR="004E3AC5" w:rsidRPr="00BE28C4" w:rsidRDefault="004E3AC5">
      <w:pPr>
        <w:spacing w:line="240" w:lineRule="auto"/>
        <w:rPr>
          <w:i/>
          <w:szCs w:val="22"/>
        </w:rPr>
      </w:pPr>
    </w:p>
    <w:p w14:paraId="315F1E14" w14:textId="77777777" w:rsidR="004E3AC5" w:rsidRPr="00BE28C4" w:rsidRDefault="00907ADD">
      <w:pPr>
        <w:spacing w:line="240" w:lineRule="auto"/>
        <w:rPr>
          <w:szCs w:val="22"/>
        </w:rPr>
      </w:pPr>
      <w:r w:rsidRPr="00BE28C4">
        <w:rPr>
          <w:szCs w:val="22"/>
        </w:rPr>
        <w:t>Po rozpoczęciu leczenia dawkę należy stopniowo zwiększać w okresie 4 tygodni w następujący sposób:</w:t>
      </w:r>
    </w:p>
    <w:p w14:paraId="2911BF2E" w14:textId="77777777" w:rsidR="004E3AC5" w:rsidRPr="00BE28C4" w:rsidRDefault="004E3AC5">
      <w:pPr>
        <w:spacing w:line="240" w:lineRule="auto"/>
        <w:rPr>
          <w:szCs w:val="22"/>
        </w:rPr>
      </w:pPr>
    </w:p>
    <w:p w14:paraId="28E0205A" w14:textId="77777777" w:rsidR="004E3AC5" w:rsidRPr="00BE28C4" w:rsidRDefault="00907ADD">
      <w:pPr>
        <w:numPr>
          <w:ilvl w:val="0"/>
          <w:numId w:val="6"/>
        </w:numPr>
        <w:spacing w:line="240" w:lineRule="auto"/>
        <w:ind w:left="567" w:hanging="567"/>
        <w:rPr>
          <w:szCs w:val="22"/>
        </w:rPr>
      </w:pPr>
      <w:r w:rsidRPr="00BE28C4">
        <w:rPr>
          <w:szCs w:val="22"/>
        </w:rPr>
        <w:t>I tydzień leczenia: jedna tabletka rano</w:t>
      </w:r>
    </w:p>
    <w:p w14:paraId="3945F1F7" w14:textId="77777777" w:rsidR="004E3AC5" w:rsidRPr="00BE28C4" w:rsidRDefault="00907ADD">
      <w:pPr>
        <w:numPr>
          <w:ilvl w:val="0"/>
          <w:numId w:val="6"/>
        </w:numPr>
        <w:spacing w:line="240" w:lineRule="auto"/>
        <w:ind w:left="567" w:hanging="567"/>
        <w:rPr>
          <w:szCs w:val="22"/>
        </w:rPr>
      </w:pPr>
      <w:r w:rsidRPr="00BE28C4">
        <w:rPr>
          <w:szCs w:val="22"/>
        </w:rPr>
        <w:t>II tydzień leczenia: jedna tabletka rano i jedna tabletka wieczorem</w:t>
      </w:r>
    </w:p>
    <w:p w14:paraId="4B605F54" w14:textId="77777777" w:rsidR="004E3AC5" w:rsidRPr="00BE28C4" w:rsidRDefault="00907ADD">
      <w:pPr>
        <w:numPr>
          <w:ilvl w:val="0"/>
          <w:numId w:val="6"/>
        </w:numPr>
        <w:spacing w:line="240" w:lineRule="auto"/>
        <w:ind w:left="567" w:hanging="567"/>
        <w:rPr>
          <w:szCs w:val="22"/>
        </w:rPr>
      </w:pPr>
      <w:r w:rsidRPr="00BE28C4">
        <w:rPr>
          <w:szCs w:val="22"/>
        </w:rPr>
        <w:t>III tydzień leczenia: dwie tabletki rano i jedna tabletka wieczorem</w:t>
      </w:r>
    </w:p>
    <w:p w14:paraId="4B36081C" w14:textId="77777777" w:rsidR="004E3AC5" w:rsidRPr="00BE28C4" w:rsidRDefault="00907ADD">
      <w:pPr>
        <w:numPr>
          <w:ilvl w:val="0"/>
          <w:numId w:val="6"/>
        </w:numPr>
        <w:spacing w:line="240" w:lineRule="auto"/>
        <w:ind w:left="567" w:hanging="567"/>
        <w:rPr>
          <w:szCs w:val="22"/>
        </w:rPr>
      </w:pPr>
      <w:r w:rsidRPr="00BE28C4">
        <w:rPr>
          <w:szCs w:val="22"/>
        </w:rPr>
        <w:t>IV tydzień leczenia i następne: dwie tabletki rano i dwie tabletki wieczorem</w:t>
      </w:r>
    </w:p>
    <w:p w14:paraId="72E1F7E8" w14:textId="77777777" w:rsidR="004E3AC5" w:rsidRPr="00BE28C4" w:rsidRDefault="004E3AC5">
      <w:pPr>
        <w:spacing w:line="240" w:lineRule="auto"/>
        <w:rPr>
          <w:szCs w:val="22"/>
        </w:rPr>
      </w:pPr>
    </w:p>
    <w:p w14:paraId="61F06209" w14:textId="2D1C869C" w:rsidR="004E3AC5" w:rsidRPr="00BE28C4" w:rsidRDefault="00907ADD">
      <w:pPr>
        <w:spacing w:line="240" w:lineRule="auto"/>
        <w:rPr>
          <w:szCs w:val="22"/>
        </w:rPr>
      </w:pPr>
      <w:r w:rsidRPr="00BE28C4">
        <w:rPr>
          <w:szCs w:val="22"/>
        </w:rPr>
        <w:lastRenderedPageBreak/>
        <w:t xml:space="preserve">Maksymalna zalecana dawka dobowa produktu leczniczego </w:t>
      </w:r>
      <w:proofErr w:type="spellStart"/>
      <w:r w:rsidRPr="00BE28C4">
        <w:rPr>
          <w:szCs w:val="22"/>
        </w:rPr>
        <w:t>Mysimba</w:t>
      </w:r>
      <w:proofErr w:type="spellEnd"/>
      <w:r w:rsidRPr="00BE28C4">
        <w:rPr>
          <w:szCs w:val="22"/>
        </w:rPr>
        <w:t xml:space="preserve"> to dwie tabletki dwa razy na dobę, co odpowiada dawce całkowitej </w:t>
      </w:r>
      <w:proofErr w:type="spellStart"/>
      <w:r w:rsidRPr="00BE28C4">
        <w:rPr>
          <w:szCs w:val="22"/>
        </w:rPr>
        <w:t>naltreksonu</w:t>
      </w:r>
      <w:proofErr w:type="spellEnd"/>
      <w:r w:rsidRPr="00BE28C4">
        <w:rPr>
          <w:szCs w:val="22"/>
        </w:rPr>
        <w:t xml:space="preserve"> chlorowodorku wynoszącej 32 mg i dawce całkowitej </w:t>
      </w:r>
      <w:proofErr w:type="spellStart"/>
      <w:r w:rsidRPr="00BE28C4">
        <w:rPr>
          <w:szCs w:val="22"/>
        </w:rPr>
        <w:t>bupropionu</w:t>
      </w:r>
      <w:proofErr w:type="spellEnd"/>
      <w:r w:rsidRPr="00BE28C4">
        <w:rPr>
          <w:szCs w:val="22"/>
        </w:rPr>
        <w:t xml:space="preserve"> chlorowodorku wynoszącej 360 mg. Konieczność dalszego stosowania omawianego produktu leczniczego należy zweryfikować po 16 tygodniach (patrz punkt 4.1), a następnie weryfikować raz w roku.</w:t>
      </w:r>
      <w:r w:rsidR="00BC4814">
        <w:rPr>
          <w:szCs w:val="22"/>
        </w:rPr>
        <w:t xml:space="preserve"> </w:t>
      </w:r>
      <w:r w:rsidR="00BC4814" w:rsidRPr="00BC4814">
        <w:rPr>
          <w:szCs w:val="22"/>
        </w:rPr>
        <w:t xml:space="preserve">Ryzyko sercowo-naczyniowe związane ze stosowaniem produktu </w:t>
      </w:r>
      <w:proofErr w:type="spellStart"/>
      <w:r w:rsidR="00BC4814" w:rsidRPr="00BC4814">
        <w:rPr>
          <w:szCs w:val="22"/>
        </w:rPr>
        <w:t>Mysimba</w:t>
      </w:r>
      <w:proofErr w:type="spellEnd"/>
      <w:r w:rsidR="00BC4814" w:rsidRPr="00BC4814">
        <w:rPr>
          <w:szCs w:val="22"/>
        </w:rPr>
        <w:t xml:space="preserve"> przez okres dłuższy niż rok nie zostało w pełni określone. Leczenie produktem </w:t>
      </w:r>
      <w:proofErr w:type="spellStart"/>
      <w:r w:rsidR="00BC4814" w:rsidRPr="00BC4814">
        <w:rPr>
          <w:szCs w:val="22"/>
        </w:rPr>
        <w:t>Mysimba</w:t>
      </w:r>
      <w:proofErr w:type="spellEnd"/>
      <w:r w:rsidR="00BC4814" w:rsidRPr="00BC4814">
        <w:rPr>
          <w:szCs w:val="22"/>
        </w:rPr>
        <w:t xml:space="preserve"> należy przerwać po upływie roku, jeśli u pacjentów nie nastąpiła utrata co najmniej 5% początkowej masy ciała (patrz punkt 4.1). Rozważając kontynuację leczenia, pracownik </w:t>
      </w:r>
      <w:r w:rsidR="00221A4F">
        <w:rPr>
          <w:szCs w:val="22"/>
        </w:rPr>
        <w:t>należący do fachowego personelu medycznego</w:t>
      </w:r>
      <w:r w:rsidR="00BC4814" w:rsidRPr="00BC4814">
        <w:rPr>
          <w:szCs w:val="22"/>
        </w:rPr>
        <w:t xml:space="preserve"> powinien przeprowadzać coroczną ocenę w porozumieniu z pacjentem, aby upewnić się, że nie </w:t>
      </w:r>
      <w:r w:rsidR="00BC4814">
        <w:rPr>
          <w:szCs w:val="22"/>
        </w:rPr>
        <w:t>wystąpiły</w:t>
      </w:r>
      <w:r w:rsidR="00BC4814" w:rsidRPr="00BC4814">
        <w:rPr>
          <w:szCs w:val="22"/>
        </w:rPr>
        <w:t xml:space="preserve"> niekorzystne zmiany ryzyka sercowo-naczyniowego (patrz punkt 4.4) oraz że utrzymano utratę masy ciała określoną w niniejszym punkcie.</w:t>
      </w:r>
    </w:p>
    <w:p w14:paraId="5DEDDCB1" w14:textId="77777777" w:rsidR="004E3AC5" w:rsidRPr="00BE28C4" w:rsidRDefault="004E3AC5">
      <w:pPr>
        <w:spacing w:line="240" w:lineRule="auto"/>
        <w:rPr>
          <w:szCs w:val="22"/>
        </w:rPr>
      </w:pPr>
    </w:p>
    <w:p w14:paraId="093861F3" w14:textId="77777777" w:rsidR="004E3AC5" w:rsidRPr="00BE28C4" w:rsidRDefault="00907ADD">
      <w:pPr>
        <w:spacing w:line="240" w:lineRule="auto"/>
        <w:rPr>
          <w:i/>
          <w:iCs/>
          <w:szCs w:val="22"/>
        </w:rPr>
      </w:pPr>
      <w:r w:rsidRPr="00BE28C4">
        <w:rPr>
          <w:i/>
          <w:iCs/>
          <w:szCs w:val="22"/>
        </w:rPr>
        <w:t>Pominięcie przyjęcia leku</w:t>
      </w:r>
    </w:p>
    <w:p w14:paraId="53124D1E" w14:textId="77777777" w:rsidR="004E3AC5" w:rsidRPr="00BE28C4" w:rsidRDefault="00907ADD">
      <w:pPr>
        <w:spacing w:line="240" w:lineRule="auto"/>
        <w:rPr>
          <w:szCs w:val="22"/>
        </w:rPr>
      </w:pPr>
      <w:r w:rsidRPr="00BE28C4">
        <w:rPr>
          <w:szCs w:val="22"/>
        </w:rPr>
        <w:t>W przypadku pominięcia dawki, nie należy przyjmować dawki dodatkowej, a kolejną dawkę przyjąć o zwykłej porze.</w:t>
      </w:r>
    </w:p>
    <w:p w14:paraId="00254754" w14:textId="77777777" w:rsidR="004E3AC5" w:rsidRPr="00BE28C4" w:rsidRDefault="004E3AC5">
      <w:pPr>
        <w:spacing w:line="240" w:lineRule="auto"/>
        <w:rPr>
          <w:szCs w:val="22"/>
        </w:rPr>
      </w:pPr>
    </w:p>
    <w:p w14:paraId="312E034F" w14:textId="77777777" w:rsidR="004E3AC5" w:rsidRPr="00BE28C4" w:rsidRDefault="00907ADD">
      <w:pPr>
        <w:tabs>
          <w:tab w:val="left" w:pos="6710"/>
        </w:tabs>
        <w:spacing w:line="240" w:lineRule="auto"/>
        <w:rPr>
          <w:i/>
          <w:szCs w:val="22"/>
          <w:u w:val="single"/>
        </w:rPr>
      </w:pPr>
      <w:r w:rsidRPr="00BE28C4">
        <w:rPr>
          <w:i/>
          <w:szCs w:val="22"/>
          <w:u w:val="single"/>
        </w:rPr>
        <w:t>Szczególne populacje pacjentów</w:t>
      </w:r>
    </w:p>
    <w:p w14:paraId="4D41C478" w14:textId="77777777" w:rsidR="004E3AC5" w:rsidRPr="00BE28C4" w:rsidRDefault="004E3AC5">
      <w:pPr>
        <w:spacing w:line="240" w:lineRule="auto"/>
        <w:rPr>
          <w:i/>
          <w:szCs w:val="22"/>
        </w:rPr>
      </w:pPr>
    </w:p>
    <w:p w14:paraId="6F1AFE7E" w14:textId="77777777" w:rsidR="004E3AC5" w:rsidRPr="00BE28C4" w:rsidRDefault="00907ADD">
      <w:pPr>
        <w:spacing w:line="240" w:lineRule="auto"/>
        <w:rPr>
          <w:i/>
          <w:szCs w:val="22"/>
        </w:rPr>
      </w:pPr>
      <w:r w:rsidRPr="00BE28C4">
        <w:rPr>
          <w:i/>
          <w:szCs w:val="22"/>
        </w:rPr>
        <w:t>Pacjenci w podeszłym wieku (w wieku powyżej 65 lat)</w:t>
      </w:r>
    </w:p>
    <w:p w14:paraId="79A20BE0" w14:textId="77777777" w:rsidR="004E3AC5" w:rsidRPr="00BE28C4" w:rsidRDefault="00907ADD">
      <w:pPr>
        <w:spacing w:line="240" w:lineRule="auto"/>
        <w:rPr>
          <w:szCs w:val="22"/>
        </w:rPr>
      </w:pPr>
      <w:r w:rsidRPr="00BE28C4">
        <w:rPr>
          <w:szCs w:val="22"/>
        </w:rPr>
        <w:t xml:space="preserve">U pacjentów w wieku powyżej 65 lat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należy stosować </w:t>
      </w:r>
      <w:r w:rsidRPr="00BE28C4">
        <w:rPr>
          <w:szCs w:val="22"/>
        </w:rPr>
        <w:br/>
        <w:t>z zachowaniem ostrożności, natomiast u pacjentów w wieku powyżej 75 lat stosowanie go jest niezalecane (patrz punkty 4.4, 4.8 i 5.2).</w:t>
      </w:r>
    </w:p>
    <w:p w14:paraId="58AE83FD" w14:textId="77777777" w:rsidR="004E3AC5" w:rsidRPr="00BE28C4" w:rsidRDefault="004E3AC5">
      <w:pPr>
        <w:tabs>
          <w:tab w:val="left" w:pos="6710"/>
        </w:tabs>
        <w:spacing w:line="240" w:lineRule="auto"/>
        <w:rPr>
          <w:szCs w:val="22"/>
        </w:rPr>
      </w:pPr>
    </w:p>
    <w:p w14:paraId="3A0A653D" w14:textId="77777777" w:rsidR="004E3AC5" w:rsidRPr="00BE28C4" w:rsidRDefault="00907ADD">
      <w:pPr>
        <w:tabs>
          <w:tab w:val="left" w:pos="6710"/>
        </w:tabs>
        <w:spacing w:line="240" w:lineRule="auto"/>
        <w:rPr>
          <w:i/>
          <w:szCs w:val="22"/>
        </w:rPr>
      </w:pPr>
      <w:r w:rsidRPr="00BE28C4">
        <w:rPr>
          <w:i/>
          <w:szCs w:val="22"/>
        </w:rPr>
        <w:t>Pacjenci z zaburzeniami czynności nerek</w:t>
      </w:r>
    </w:p>
    <w:p w14:paraId="3BDAB751" w14:textId="77777777" w:rsidR="004E3AC5" w:rsidRPr="00BE28C4" w:rsidRDefault="00907ADD">
      <w:pPr>
        <w:spacing w:line="240" w:lineRule="auto"/>
        <w:rPr>
          <w:szCs w:val="22"/>
        </w:rPr>
      </w:pPr>
      <w:r w:rsidRPr="00BE28C4">
        <w:rPr>
          <w:szCs w:val="22"/>
        </w:rPr>
        <w:t xml:space="preserve">U pacjentów ze schyłkową niewydolnością nerek stosowanie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jest przeciwwskazane (patrz punkt 4.3). U pacjentów z umiarkowanymi lub ciężkimi zaburzeniami czynności nerek maksymalna zalecana dawka dobowa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wynosi dwie tabletki (jedna tabletka rano i jedna tabletka wieczorem) (patrz punkty 4.4, 4.8 i 5.2). </w:t>
      </w:r>
      <w:r w:rsidRPr="00BE28C4">
        <w:rPr>
          <w:lang w:val="pl"/>
        </w:rPr>
        <w:t xml:space="preserve">Zaleca się, aby pacjenci z zaburzeniami czynności nerek o nasileniu umiarkowanym do ciężkiego rozpoczęli leczenie od jednej tabletki przyjmowanej rano przez pierwszy tydzień leczenia i zwiększyli dawkę do jednej tabletki rano i jednej tabletki wieczorem od 2. tygodnia. </w:t>
      </w:r>
      <w:r w:rsidRPr="00BE28C4">
        <w:rPr>
          <w:szCs w:val="22"/>
        </w:rPr>
        <w:t xml:space="preserve">U pacjentów z łagodnymi zaburzeniami czynności nerek zmniejszenie dawki nie jest konieczne. Przed rozpoczęciem stosowania </w:t>
      </w:r>
      <w:bookmarkStart w:id="0" w:name="_Hlk496441609"/>
      <w:r w:rsidRPr="00BE28C4">
        <w:rPr>
          <w:szCs w:val="22"/>
        </w:rPr>
        <w:t xml:space="preserve">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t>
      </w:r>
      <w:bookmarkEnd w:id="0"/>
      <w:r w:rsidRPr="00BE28C4">
        <w:rPr>
          <w:szCs w:val="22"/>
        </w:rPr>
        <w:t xml:space="preserve">u osób, u których występuje zwiększone ryzyko zaburzeń czynności nerek, szczególnie u chorych na cukrzycę i osób w podeszłym wieku, należy oznaczyć szacunkowy wskaźnik przesączania kłębuszkowego (ang. </w:t>
      </w:r>
      <w:proofErr w:type="spellStart"/>
      <w:r w:rsidRPr="00BE28C4">
        <w:rPr>
          <w:szCs w:val="22"/>
        </w:rPr>
        <w:t>estimated</w:t>
      </w:r>
      <w:proofErr w:type="spellEnd"/>
      <w:r w:rsidRPr="00BE28C4">
        <w:rPr>
          <w:szCs w:val="22"/>
        </w:rPr>
        <w:t xml:space="preserve"> </w:t>
      </w:r>
      <w:proofErr w:type="spellStart"/>
      <w:r w:rsidRPr="00BE28C4">
        <w:rPr>
          <w:szCs w:val="22"/>
        </w:rPr>
        <w:t>glomerular</w:t>
      </w:r>
      <w:proofErr w:type="spellEnd"/>
      <w:r w:rsidRPr="00BE28C4">
        <w:rPr>
          <w:szCs w:val="22"/>
        </w:rPr>
        <w:t xml:space="preserve"> </w:t>
      </w:r>
      <w:proofErr w:type="spellStart"/>
      <w:r w:rsidRPr="00BE28C4">
        <w:rPr>
          <w:szCs w:val="22"/>
        </w:rPr>
        <w:t>filtration</w:t>
      </w:r>
      <w:proofErr w:type="spellEnd"/>
      <w:r w:rsidRPr="00BE28C4">
        <w:rPr>
          <w:szCs w:val="22"/>
        </w:rPr>
        <w:t xml:space="preserve"> </w:t>
      </w:r>
      <w:proofErr w:type="spellStart"/>
      <w:r w:rsidRPr="00BE28C4">
        <w:rPr>
          <w:szCs w:val="22"/>
        </w:rPr>
        <w:t>rate</w:t>
      </w:r>
      <w:proofErr w:type="spellEnd"/>
      <w:r w:rsidRPr="00BE28C4">
        <w:rPr>
          <w:szCs w:val="22"/>
        </w:rPr>
        <w:t xml:space="preserve">, </w:t>
      </w:r>
      <w:proofErr w:type="spellStart"/>
      <w:r w:rsidRPr="00BE28C4">
        <w:rPr>
          <w:szCs w:val="22"/>
        </w:rPr>
        <w:t>eGFR</w:t>
      </w:r>
      <w:proofErr w:type="spellEnd"/>
      <w:r w:rsidRPr="00BE28C4">
        <w:rPr>
          <w:szCs w:val="22"/>
        </w:rPr>
        <w:t>).</w:t>
      </w:r>
    </w:p>
    <w:p w14:paraId="50B77651" w14:textId="77777777" w:rsidR="004E3AC5" w:rsidRPr="00BE28C4" w:rsidRDefault="004E3AC5">
      <w:pPr>
        <w:spacing w:line="240" w:lineRule="auto"/>
        <w:rPr>
          <w:szCs w:val="22"/>
        </w:rPr>
      </w:pPr>
    </w:p>
    <w:p w14:paraId="2942DDBD" w14:textId="77777777" w:rsidR="004E3AC5" w:rsidRPr="00BE28C4" w:rsidRDefault="00907ADD">
      <w:pPr>
        <w:spacing w:line="240" w:lineRule="auto"/>
        <w:rPr>
          <w:i/>
          <w:szCs w:val="22"/>
        </w:rPr>
      </w:pPr>
      <w:r w:rsidRPr="00BE28C4">
        <w:rPr>
          <w:i/>
          <w:szCs w:val="22"/>
        </w:rPr>
        <w:t>Pacjenci z zaburzeniami czynności wątroby</w:t>
      </w:r>
    </w:p>
    <w:p w14:paraId="05416D1C" w14:textId="77777777" w:rsidR="004E3AC5" w:rsidRPr="00BE28C4" w:rsidRDefault="00907ADD">
      <w:pPr>
        <w:spacing w:line="240" w:lineRule="auto"/>
        <w:rPr>
          <w:szCs w:val="22"/>
        </w:rPr>
      </w:pPr>
      <w:r w:rsidRPr="00BE28C4">
        <w:rPr>
          <w:szCs w:val="22"/>
        </w:rPr>
        <w:t xml:space="preserve">U pacjentów z ciężkimi zaburzeniami czynności wątroby stosowanie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jest przeciwwskazane (patrz punkt 4.3). </w:t>
      </w:r>
      <w:r w:rsidRPr="00BE28C4">
        <w:rPr>
          <w:lang w:val="pl"/>
        </w:rPr>
        <w:t xml:space="preserve">Nie zaleca się stosowania skojarzenia </w:t>
      </w:r>
      <w:proofErr w:type="spellStart"/>
      <w:r w:rsidRPr="00BE28C4">
        <w:rPr>
          <w:lang w:val="pl"/>
        </w:rPr>
        <w:t>naltrekson</w:t>
      </w:r>
      <w:proofErr w:type="spellEnd"/>
      <w:r w:rsidRPr="00BE28C4">
        <w:rPr>
          <w:lang w:val="pl"/>
        </w:rPr>
        <w:t xml:space="preserve"> + </w:t>
      </w:r>
      <w:proofErr w:type="spellStart"/>
      <w:r w:rsidRPr="00BE28C4">
        <w:rPr>
          <w:lang w:val="pl"/>
        </w:rPr>
        <w:t>bupropion</w:t>
      </w:r>
      <w:proofErr w:type="spellEnd"/>
      <w:r w:rsidRPr="00BE28C4">
        <w:rPr>
          <w:lang w:val="pl"/>
        </w:rPr>
        <w:t xml:space="preserve"> u pacjentów z zaburzeniami czynności wątroby o nasileniu umiarkowanym (patrz punkty 4.4 i 5.2). U pacjentów z zaburzeniami czynności wątroby o nasileniu lekkim maksymalna dobowa dawka skojarzenia </w:t>
      </w:r>
      <w:proofErr w:type="spellStart"/>
      <w:r w:rsidRPr="00BE28C4">
        <w:rPr>
          <w:lang w:val="pl"/>
        </w:rPr>
        <w:t>naltrekson</w:t>
      </w:r>
      <w:proofErr w:type="spellEnd"/>
      <w:r w:rsidRPr="00BE28C4">
        <w:rPr>
          <w:lang w:val="pl"/>
        </w:rPr>
        <w:t xml:space="preserve"> + </w:t>
      </w:r>
      <w:proofErr w:type="spellStart"/>
      <w:r w:rsidRPr="00BE28C4">
        <w:rPr>
          <w:lang w:val="pl"/>
        </w:rPr>
        <w:t>bupropion</w:t>
      </w:r>
      <w:proofErr w:type="spellEnd"/>
      <w:r w:rsidRPr="00BE28C4">
        <w:rPr>
          <w:lang w:val="pl"/>
        </w:rPr>
        <w:t xml:space="preserve"> to dwie tabletki (jedna tabletka rano i jedna tabletka wieczorem) (patrz punkty 4.4. i 5.2). Zaleca się, aby pacjenci z zaburzeniami czynności wątroby o nasileniu lekkim rozpoczęli leczenie od jednej tabletki przyjmowanej rano przez pierwszy tydzień leczenia i zwiększyli dawkę do jednej tabletki rano i jednej tabletki wieczorem od 2. tygodnia. Stopień zaburzeń czynności wątroby należy ocenić na podstawie skali Child-</w:t>
      </w:r>
      <w:proofErr w:type="spellStart"/>
      <w:r w:rsidRPr="00BE28C4">
        <w:rPr>
          <w:lang w:val="pl"/>
        </w:rPr>
        <w:t>Pugha</w:t>
      </w:r>
      <w:proofErr w:type="spellEnd"/>
      <w:r w:rsidRPr="00BE28C4">
        <w:rPr>
          <w:lang w:val="pl"/>
        </w:rPr>
        <w:t>.</w:t>
      </w:r>
    </w:p>
    <w:p w14:paraId="3A038FA8" w14:textId="77777777" w:rsidR="004E3AC5" w:rsidRPr="00BE28C4" w:rsidRDefault="004E3AC5">
      <w:pPr>
        <w:spacing w:line="240" w:lineRule="auto"/>
        <w:rPr>
          <w:bCs/>
          <w:i/>
          <w:iCs/>
          <w:szCs w:val="22"/>
        </w:rPr>
      </w:pPr>
    </w:p>
    <w:p w14:paraId="35AAFA9F" w14:textId="77777777" w:rsidR="004E3AC5" w:rsidRPr="00BE28C4" w:rsidRDefault="00907ADD">
      <w:pPr>
        <w:spacing w:line="240" w:lineRule="auto"/>
        <w:rPr>
          <w:bCs/>
          <w:i/>
          <w:iCs/>
          <w:szCs w:val="22"/>
        </w:rPr>
      </w:pPr>
      <w:r w:rsidRPr="00BE28C4">
        <w:rPr>
          <w:i/>
          <w:szCs w:val="22"/>
        </w:rPr>
        <w:t>Dzieci i młodzież</w:t>
      </w:r>
    </w:p>
    <w:p w14:paraId="7B5D7063" w14:textId="77777777" w:rsidR="004E3AC5" w:rsidRPr="00BE28C4" w:rsidRDefault="00907ADD">
      <w:pPr>
        <w:autoSpaceDE w:val="0"/>
        <w:autoSpaceDN w:val="0"/>
        <w:adjustRightInd w:val="0"/>
        <w:spacing w:line="240" w:lineRule="auto"/>
        <w:rPr>
          <w:szCs w:val="22"/>
        </w:rPr>
      </w:pPr>
      <w:r w:rsidRPr="00BE28C4">
        <w:rPr>
          <w:szCs w:val="22"/>
        </w:rPr>
        <w:t xml:space="preserve">Nie określono dotychczas bezpieczeństwa stosowania ani skuteczności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u dzieci i młodzieży w wieku poniżej 18 lat. W związku z tym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nie należy stosować u dzieci i młodzieży w wieku poniżej 18 lat.</w:t>
      </w:r>
    </w:p>
    <w:p w14:paraId="4AAD82DF" w14:textId="77777777" w:rsidR="004E3AC5" w:rsidRPr="00BE28C4" w:rsidRDefault="004E3AC5">
      <w:pPr>
        <w:spacing w:line="240" w:lineRule="auto"/>
        <w:rPr>
          <w:bCs/>
          <w:i/>
          <w:iCs/>
          <w:szCs w:val="22"/>
        </w:rPr>
      </w:pPr>
    </w:p>
    <w:p w14:paraId="7D82770E" w14:textId="77777777" w:rsidR="004E3AC5" w:rsidRPr="00BE28C4" w:rsidRDefault="00907ADD">
      <w:pPr>
        <w:spacing w:line="240" w:lineRule="auto"/>
        <w:rPr>
          <w:szCs w:val="22"/>
          <w:u w:val="single"/>
        </w:rPr>
      </w:pPr>
      <w:r w:rsidRPr="00BE28C4">
        <w:rPr>
          <w:szCs w:val="22"/>
          <w:u w:val="single"/>
        </w:rPr>
        <w:t xml:space="preserve">Sposób podawania </w:t>
      </w:r>
    </w:p>
    <w:p w14:paraId="111E5052" w14:textId="77777777" w:rsidR="004E3AC5" w:rsidRPr="00BE28C4" w:rsidRDefault="00907ADD">
      <w:pPr>
        <w:spacing w:line="240" w:lineRule="auto"/>
        <w:rPr>
          <w:szCs w:val="22"/>
        </w:rPr>
      </w:pPr>
      <w:r w:rsidRPr="00BE28C4">
        <w:rPr>
          <w:szCs w:val="22"/>
        </w:rPr>
        <w:t>Podanie doustne. Tabletki należy połykać w całości, popijając wodą. Tabletki najlepiej przyjmować podczas posiłku (patrz punkt 5.2). Tabletek nie należy przecinać, żuć ani rozgryzać.</w:t>
      </w:r>
    </w:p>
    <w:p w14:paraId="52FC138F" w14:textId="77777777" w:rsidR="004E3AC5" w:rsidRPr="00BE28C4" w:rsidRDefault="004E3AC5">
      <w:pPr>
        <w:spacing w:line="240" w:lineRule="auto"/>
        <w:rPr>
          <w:bCs/>
          <w:i/>
          <w:iCs/>
          <w:szCs w:val="22"/>
        </w:rPr>
      </w:pPr>
    </w:p>
    <w:p w14:paraId="2B873083" w14:textId="77777777" w:rsidR="004E3AC5" w:rsidRPr="00BE28C4" w:rsidRDefault="00907ADD">
      <w:pPr>
        <w:spacing w:line="240" w:lineRule="auto"/>
        <w:ind w:left="567" w:hanging="567"/>
        <w:rPr>
          <w:szCs w:val="22"/>
        </w:rPr>
      </w:pPr>
      <w:r w:rsidRPr="00BE28C4">
        <w:rPr>
          <w:b/>
          <w:szCs w:val="22"/>
        </w:rPr>
        <w:t>4.3</w:t>
      </w:r>
      <w:r w:rsidRPr="00BE28C4">
        <w:rPr>
          <w:szCs w:val="22"/>
        </w:rPr>
        <w:tab/>
      </w:r>
      <w:r w:rsidRPr="00BE28C4">
        <w:rPr>
          <w:b/>
          <w:szCs w:val="22"/>
        </w:rPr>
        <w:t>Przeciwwskazania</w:t>
      </w:r>
    </w:p>
    <w:p w14:paraId="7C5CEA14" w14:textId="77777777" w:rsidR="004E3AC5" w:rsidRPr="00BE28C4" w:rsidRDefault="004E3AC5">
      <w:pPr>
        <w:spacing w:line="240" w:lineRule="auto"/>
        <w:rPr>
          <w:bCs/>
          <w:i/>
          <w:iCs/>
          <w:szCs w:val="22"/>
        </w:rPr>
      </w:pPr>
    </w:p>
    <w:p w14:paraId="138CEEF7" w14:textId="77777777" w:rsidR="004E3AC5" w:rsidRPr="00BE28C4" w:rsidRDefault="00907ADD">
      <w:pPr>
        <w:pStyle w:val="ListParagraph1"/>
        <w:numPr>
          <w:ilvl w:val="0"/>
          <w:numId w:val="7"/>
        </w:numPr>
        <w:tabs>
          <w:tab w:val="left" w:pos="567"/>
        </w:tabs>
        <w:autoSpaceDE w:val="0"/>
        <w:autoSpaceDN w:val="0"/>
        <w:adjustRightInd w:val="0"/>
        <w:ind w:left="567" w:hanging="567"/>
        <w:rPr>
          <w:sz w:val="22"/>
          <w:szCs w:val="22"/>
        </w:rPr>
      </w:pPr>
      <w:r w:rsidRPr="00BE28C4">
        <w:rPr>
          <w:sz w:val="22"/>
          <w:szCs w:val="22"/>
        </w:rPr>
        <w:t>Nadwrażliwość na substancję czynną lub na którąkolwiek substancję pomocniczą wymienioną w punkcie 6.1.</w:t>
      </w:r>
    </w:p>
    <w:p w14:paraId="20B82A36" w14:textId="77777777" w:rsidR="004E3AC5" w:rsidRPr="00BE28C4" w:rsidRDefault="00907ADD">
      <w:pPr>
        <w:pStyle w:val="ListParagraph1"/>
        <w:numPr>
          <w:ilvl w:val="0"/>
          <w:numId w:val="7"/>
        </w:numPr>
        <w:tabs>
          <w:tab w:val="left" w:pos="567"/>
        </w:tabs>
        <w:autoSpaceDE w:val="0"/>
        <w:autoSpaceDN w:val="0"/>
        <w:adjustRightInd w:val="0"/>
        <w:ind w:left="567" w:hanging="567"/>
        <w:rPr>
          <w:sz w:val="22"/>
          <w:szCs w:val="22"/>
        </w:rPr>
      </w:pPr>
      <w:r w:rsidRPr="00BE28C4">
        <w:rPr>
          <w:sz w:val="22"/>
          <w:szCs w:val="22"/>
        </w:rPr>
        <w:t>Niewyrównane nadciśnienie tętnicze (patrz punkt 4.4).</w:t>
      </w:r>
    </w:p>
    <w:p w14:paraId="54382119" w14:textId="77777777" w:rsidR="004E3AC5" w:rsidRPr="00BE28C4" w:rsidRDefault="00907ADD">
      <w:pPr>
        <w:pStyle w:val="ListParagraph1"/>
        <w:numPr>
          <w:ilvl w:val="0"/>
          <w:numId w:val="7"/>
        </w:numPr>
        <w:tabs>
          <w:tab w:val="left" w:pos="567"/>
        </w:tabs>
        <w:autoSpaceDE w:val="0"/>
        <w:autoSpaceDN w:val="0"/>
        <w:adjustRightInd w:val="0"/>
        <w:ind w:left="567" w:hanging="567"/>
        <w:rPr>
          <w:sz w:val="22"/>
          <w:szCs w:val="22"/>
        </w:rPr>
      </w:pPr>
      <w:r w:rsidRPr="00BE28C4">
        <w:rPr>
          <w:sz w:val="22"/>
          <w:szCs w:val="22"/>
        </w:rPr>
        <w:t>Padaczka obecnie lub napady drgawek w wywiadzie (patrz punkt 4.4).</w:t>
      </w:r>
    </w:p>
    <w:p w14:paraId="085AA0DD" w14:textId="77777777" w:rsidR="004E3AC5" w:rsidRPr="00BE28C4" w:rsidRDefault="00907ADD">
      <w:pPr>
        <w:pStyle w:val="ListParagraph1"/>
        <w:numPr>
          <w:ilvl w:val="0"/>
          <w:numId w:val="7"/>
        </w:numPr>
        <w:tabs>
          <w:tab w:val="left" w:pos="567"/>
        </w:tabs>
        <w:autoSpaceDE w:val="0"/>
        <w:autoSpaceDN w:val="0"/>
        <w:adjustRightInd w:val="0"/>
        <w:ind w:left="567" w:hanging="567"/>
        <w:rPr>
          <w:sz w:val="22"/>
          <w:szCs w:val="22"/>
        </w:rPr>
      </w:pPr>
      <w:r w:rsidRPr="00BE28C4">
        <w:rPr>
          <w:sz w:val="22"/>
          <w:szCs w:val="22"/>
        </w:rPr>
        <w:t>Guz nowotworowy w ośrodkowym układzie nerwowym.</w:t>
      </w:r>
    </w:p>
    <w:p w14:paraId="17D9FD87" w14:textId="77777777" w:rsidR="004E3AC5" w:rsidRPr="00BE28C4" w:rsidRDefault="00907ADD">
      <w:pPr>
        <w:pStyle w:val="ListParagraph1"/>
        <w:numPr>
          <w:ilvl w:val="0"/>
          <w:numId w:val="7"/>
        </w:numPr>
        <w:tabs>
          <w:tab w:val="left" w:pos="567"/>
        </w:tabs>
        <w:autoSpaceDE w:val="0"/>
        <w:autoSpaceDN w:val="0"/>
        <w:adjustRightInd w:val="0"/>
        <w:ind w:left="567" w:hanging="567"/>
        <w:rPr>
          <w:sz w:val="22"/>
          <w:szCs w:val="22"/>
        </w:rPr>
      </w:pPr>
      <w:r w:rsidRPr="00BE28C4">
        <w:rPr>
          <w:sz w:val="22"/>
          <w:szCs w:val="22"/>
        </w:rPr>
        <w:t xml:space="preserve">Okres bezpośrednio po nagłym odstawieniu alkoholu lub </w:t>
      </w:r>
      <w:proofErr w:type="spellStart"/>
      <w:r w:rsidRPr="00BE28C4">
        <w:rPr>
          <w:sz w:val="22"/>
          <w:szCs w:val="22"/>
        </w:rPr>
        <w:t>benzodiazepin</w:t>
      </w:r>
      <w:proofErr w:type="spellEnd"/>
      <w:r w:rsidRPr="00BE28C4">
        <w:rPr>
          <w:sz w:val="22"/>
          <w:szCs w:val="22"/>
        </w:rPr>
        <w:t xml:space="preserve"> u osoby uzależnionej.</w:t>
      </w:r>
    </w:p>
    <w:p w14:paraId="20DFE336" w14:textId="77777777" w:rsidR="004E3AC5" w:rsidRPr="00BE28C4" w:rsidRDefault="00907ADD">
      <w:pPr>
        <w:pStyle w:val="ListParagraph1"/>
        <w:numPr>
          <w:ilvl w:val="0"/>
          <w:numId w:val="7"/>
        </w:numPr>
        <w:tabs>
          <w:tab w:val="left" w:pos="567"/>
        </w:tabs>
        <w:autoSpaceDE w:val="0"/>
        <w:autoSpaceDN w:val="0"/>
        <w:adjustRightInd w:val="0"/>
        <w:ind w:left="567" w:hanging="567"/>
        <w:rPr>
          <w:sz w:val="22"/>
          <w:szCs w:val="22"/>
        </w:rPr>
      </w:pPr>
      <w:r w:rsidRPr="00BE28C4">
        <w:rPr>
          <w:sz w:val="22"/>
          <w:szCs w:val="22"/>
        </w:rPr>
        <w:t>Choroba afektywna dwubiegunowa w wywiadzie.</w:t>
      </w:r>
    </w:p>
    <w:p w14:paraId="481C46D0" w14:textId="77777777" w:rsidR="004E3AC5" w:rsidRPr="00BE28C4" w:rsidRDefault="00907ADD">
      <w:pPr>
        <w:pStyle w:val="ListParagraph1"/>
        <w:numPr>
          <w:ilvl w:val="0"/>
          <w:numId w:val="7"/>
        </w:numPr>
        <w:tabs>
          <w:tab w:val="left" w:pos="567"/>
        </w:tabs>
        <w:autoSpaceDE w:val="0"/>
        <w:autoSpaceDN w:val="0"/>
        <w:adjustRightInd w:val="0"/>
        <w:ind w:left="567" w:hanging="567"/>
        <w:rPr>
          <w:sz w:val="22"/>
          <w:szCs w:val="22"/>
        </w:rPr>
      </w:pPr>
      <w:r w:rsidRPr="00BE28C4">
        <w:rPr>
          <w:sz w:val="22"/>
          <w:szCs w:val="22"/>
        </w:rPr>
        <w:t xml:space="preserve">Przyjmowanie </w:t>
      </w:r>
      <w:proofErr w:type="spellStart"/>
      <w:r w:rsidRPr="00BE28C4">
        <w:rPr>
          <w:sz w:val="22"/>
          <w:szCs w:val="22"/>
        </w:rPr>
        <w:t>bupropionu</w:t>
      </w:r>
      <w:proofErr w:type="spellEnd"/>
      <w:r w:rsidRPr="00BE28C4">
        <w:rPr>
          <w:sz w:val="22"/>
          <w:szCs w:val="22"/>
        </w:rPr>
        <w:t xml:space="preserve"> lub </w:t>
      </w:r>
      <w:proofErr w:type="spellStart"/>
      <w:r w:rsidRPr="00BE28C4">
        <w:rPr>
          <w:sz w:val="22"/>
          <w:szCs w:val="22"/>
        </w:rPr>
        <w:t>naltreksonu</w:t>
      </w:r>
      <w:proofErr w:type="spellEnd"/>
      <w:r w:rsidRPr="00BE28C4">
        <w:rPr>
          <w:sz w:val="22"/>
          <w:szCs w:val="22"/>
        </w:rPr>
        <w:t xml:space="preserve"> w innym wskazaniu aniżeli obniżenie masy ciała.</w:t>
      </w:r>
    </w:p>
    <w:p w14:paraId="7FD57C3D" w14:textId="77777777" w:rsidR="004E3AC5" w:rsidRPr="00BE28C4" w:rsidRDefault="00907ADD">
      <w:pPr>
        <w:pStyle w:val="ListParagraph1"/>
        <w:numPr>
          <w:ilvl w:val="0"/>
          <w:numId w:val="7"/>
        </w:numPr>
        <w:tabs>
          <w:tab w:val="left" w:pos="567"/>
        </w:tabs>
        <w:autoSpaceDE w:val="0"/>
        <w:autoSpaceDN w:val="0"/>
        <w:adjustRightInd w:val="0"/>
        <w:ind w:left="567" w:hanging="567"/>
        <w:rPr>
          <w:sz w:val="22"/>
          <w:szCs w:val="22"/>
        </w:rPr>
      </w:pPr>
      <w:r w:rsidRPr="00BE28C4">
        <w:rPr>
          <w:sz w:val="22"/>
          <w:szCs w:val="22"/>
        </w:rPr>
        <w:t>Żarłoczność psychiczna lub jadłowstręt psychiczny — występujące obecnie lub w przeszłości.</w:t>
      </w:r>
    </w:p>
    <w:p w14:paraId="3C0C38D4" w14:textId="394BF187" w:rsidR="004E3AC5" w:rsidRPr="00BE28C4" w:rsidRDefault="00907ADD">
      <w:pPr>
        <w:pStyle w:val="ListParagraph1"/>
        <w:numPr>
          <w:ilvl w:val="0"/>
          <w:numId w:val="7"/>
        </w:numPr>
        <w:tabs>
          <w:tab w:val="left" w:pos="567"/>
        </w:tabs>
        <w:autoSpaceDE w:val="0"/>
        <w:autoSpaceDN w:val="0"/>
        <w:adjustRightInd w:val="0"/>
        <w:ind w:left="567" w:hanging="567"/>
        <w:rPr>
          <w:sz w:val="22"/>
          <w:szCs w:val="22"/>
        </w:rPr>
      </w:pPr>
      <w:r w:rsidRPr="00BE28C4">
        <w:rPr>
          <w:sz w:val="22"/>
          <w:szCs w:val="22"/>
        </w:rPr>
        <w:t xml:space="preserve">Uzależnienie od </w:t>
      </w:r>
      <w:proofErr w:type="spellStart"/>
      <w:r w:rsidRPr="00BE28C4">
        <w:rPr>
          <w:sz w:val="22"/>
          <w:szCs w:val="22"/>
        </w:rPr>
        <w:t>opioidów</w:t>
      </w:r>
      <w:proofErr w:type="spellEnd"/>
      <w:r w:rsidRPr="00BE28C4">
        <w:rPr>
          <w:sz w:val="22"/>
          <w:szCs w:val="22"/>
        </w:rPr>
        <w:t xml:space="preserve"> </w:t>
      </w:r>
      <w:r w:rsidR="002405B8" w:rsidRPr="00BE28C4">
        <w:rPr>
          <w:sz w:val="22"/>
          <w:szCs w:val="22"/>
        </w:rPr>
        <w:t xml:space="preserve">w tym od leków zawierających </w:t>
      </w:r>
      <w:proofErr w:type="spellStart"/>
      <w:r w:rsidR="002405B8" w:rsidRPr="00BE28C4">
        <w:rPr>
          <w:sz w:val="22"/>
          <w:szCs w:val="22"/>
        </w:rPr>
        <w:t>opioidy</w:t>
      </w:r>
      <w:proofErr w:type="spellEnd"/>
      <w:r w:rsidR="002405B8" w:rsidRPr="00BE28C4">
        <w:rPr>
          <w:sz w:val="22"/>
          <w:szCs w:val="22"/>
        </w:rPr>
        <w:t xml:space="preserve">, pacjenci leczeni </w:t>
      </w:r>
      <w:r w:rsidRPr="00BE28C4">
        <w:rPr>
          <w:sz w:val="22"/>
          <w:szCs w:val="22"/>
        </w:rPr>
        <w:t>agonist</w:t>
      </w:r>
      <w:r w:rsidR="002405B8" w:rsidRPr="00BE28C4">
        <w:rPr>
          <w:sz w:val="22"/>
          <w:szCs w:val="22"/>
        </w:rPr>
        <w:t xml:space="preserve">ami </w:t>
      </w:r>
      <w:proofErr w:type="spellStart"/>
      <w:r w:rsidR="002405B8" w:rsidRPr="00BE28C4">
        <w:rPr>
          <w:sz w:val="22"/>
          <w:szCs w:val="22"/>
        </w:rPr>
        <w:t>opioidów</w:t>
      </w:r>
      <w:proofErr w:type="spellEnd"/>
      <w:r w:rsidRPr="00BE28C4">
        <w:rPr>
          <w:sz w:val="22"/>
          <w:szCs w:val="22"/>
        </w:rPr>
        <w:t xml:space="preserve"> </w:t>
      </w:r>
      <w:r w:rsidR="002405B8" w:rsidRPr="00BE28C4">
        <w:rPr>
          <w:sz w:val="22"/>
          <w:szCs w:val="22"/>
        </w:rPr>
        <w:t>stosowanymi w </w:t>
      </w:r>
      <w:proofErr w:type="spellStart"/>
      <w:r w:rsidR="002405B8" w:rsidRPr="00BE28C4">
        <w:rPr>
          <w:sz w:val="22"/>
          <w:szCs w:val="22"/>
        </w:rPr>
        <w:t>uzleżnieniu</w:t>
      </w:r>
      <w:proofErr w:type="spellEnd"/>
      <w:r w:rsidR="002405B8" w:rsidRPr="00BE28C4">
        <w:rPr>
          <w:sz w:val="22"/>
          <w:szCs w:val="22"/>
        </w:rPr>
        <w:t xml:space="preserve"> od </w:t>
      </w:r>
      <w:proofErr w:type="spellStart"/>
      <w:r w:rsidR="002405B8" w:rsidRPr="00BE28C4">
        <w:rPr>
          <w:sz w:val="22"/>
          <w:szCs w:val="22"/>
        </w:rPr>
        <w:t>opioidów</w:t>
      </w:r>
      <w:proofErr w:type="spellEnd"/>
      <w:r w:rsidRPr="00BE28C4">
        <w:rPr>
          <w:sz w:val="22"/>
          <w:szCs w:val="22"/>
        </w:rPr>
        <w:t xml:space="preserve"> (np. metadonu</w:t>
      </w:r>
      <w:r w:rsidR="002405B8" w:rsidRPr="00BE28C4">
        <w:rPr>
          <w:sz w:val="22"/>
          <w:szCs w:val="22"/>
        </w:rPr>
        <w:t xml:space="preserve">, </w:t>
      </w:r>
      <w:proofErr w:type="spellStart"/>
      <w:r w:rsidR="002405B8" w:rsidRPr="00BE28C4">
        <w:rPr>
          <w:sz w:val="22"/>
          <w:szCs w:val="22"/>
        </w:rPr>
        <w:t>buprenorfiny</w:t>
      </w:r>
      <w:proofErr w:type="spellEnd"/>
      <w:r w:rsidRPr="00BE28C4">
        <w:rPr>
          <w:sz w:val="22"/>
          <w:szCs w:val="22"/>
        </w:rPr>
        <w:t xml:space="preserve">) oraz okres bezpośrednio po nagłym odstawieniu </w:t>
      </w:r>
      <w:proofErr w:type="spellStart"/>
      <w:r w:rsidRPr="00BE28C4">
        <w:rPr>
          <w:sz w:val="22"/>
          <w:szCs w:val="22"/>
        </w:rPr>
        <w:t>opioidów</w:t>
      </w:r>
      <w:proofErr w:type="spellEnd"/>
      <w:r w:rsidRPr="00BE28C4">
        <w:rPr>
          <w:sz w:val="22"/>
          <w:szCs w:val="22"/>
        </w:rPr>
        <w:t xml:space="preserve"> u osoby uzależnionej</w:t>
      </w:r>
      <w:r w:rsidR="002405B8" w:rsidRPr="00BE28C4">
        <w:rPr>
          <w:sz w:val="22"/>
          <w:szCs w:val="22"/>
        </w:rPr>
        <w:t xml:space="preserve"> (patrz punkt 4.4 i 4.5)</w:t>
      </w:r>
      <w:r w:rsidRPr="00BE28C4">
        <w:rPr>
          <w:sz w:val="22"/>
          <w:szCs w:val="22"/>
        </w:rPr>
        <w:t xml:space="preserve">. </w:t>
      </w:r>
    </w:p>
    <w:p w14:paraId="3BED02D8" w14:textId="77777777" w:rsidR="004E3AC5" w:rsidRPr="00BE28C4" w:rsidRDefault="00907ADD">
      <w:pPr>
        <w:pStyle w:val="ListParagraph1"/>
        <w:numPr>
          <w:ilvl w:val="0"/>
          <w:numId w:val="7"/>
        </w:numPr>
        <w:tabs>
          <w:tab w:val="left" w:pos="567"/>
        </w:tabs>
        <w:autoSpaceDE w:val="0"/>
        <w:autoSpaceDN w:val="0"/>
        <w:adjustRightInd w:val="0"/>
        <w:ind w:left="567" w:hanging="567"/>
        <w:rPr>
          <w:sz w:val="22"/>
          <w:szCs w:val="22"/>
        </w:rPr>
      </w:pPr>
      <w:r w:rsidRPr="00BE28C4">
        <w:rPr>
          <w:sz w:val="22"/>
          <w:szCs w:val="22"/>
        </w:rPr>
        <w:t xml:space="preserve">Przyjmowanie inhibitorów monoaminooksydazy (inhibitorów MAO). Od odstawienia inhibitorów MAO do rozpoczęcia przyjmowania skojarzenia </w:t>
      </w:r>
      <w:proofErr w:type="spellStart"/>
      <w:r w:rsidRPr="00BE28C4">
        <w:rPr>
          <w:sz w:val="22"/>
          <w:szCs w:val="22"/>
        </w:rPr>
        <w:t>naltrekson</w:t>
      </w:r>
      <w:proofErr w:type="spellEnd"/>
      <w:r w:rsidRPr="00BE28C4">
        <w:rPr>
          <w:sz w:val="22"/>
          <w:szCs w:val="22"/>
        </w:rPr>
        <w:t xml:space="preserve"> + </w:t>
      </w:r>
      <w:proofErr w:type="spellStart"/>
      <w:r w:rsidRPr="00BE28C4">
        <w:rPr>
          <w:sz w:val="22"/>
          <w:szCs w:val="22"/>
        </w:rPr>
        <w:t>bupropion</w:t>
      </w:r>
      <w:proofErr w:type="spellEnd"/>
      <w:r w:rsidRPr="00BE28C4">
        <w:rPr>
          <w:sz w:val="22"/>
          <w:szCs w:val="22"/>
        </w:rPr>
        <w:t xml:space="preserve"> powinno upłynąć co najmniej 14 dni (patrz punkt 4.5).</w:t>
      </w:r>
    </w:p>
    <w:p w14:paraId="0E92EC8B" w14:textId="77777777" w:rsidR="004E3AC5" w:rsidRPr="00BE28C4" w:rsidRDefault="00907ADD">
      <w:pPr>
        <w:pStyle w:val="ListParagraph1"/>
        <w:numPr>
          <w:ilvl w:val="0"/>
          <w:numId w:val="7"/>
        </w:numPr>
        <w:tabs>
          <w:tab w:val="left" w:pos="567"/>
        </w:tabs>
        <w:autoSpaceDE w:val="0"/>
        <w:autoSpaceDN w:val="0"/>
        <w:adjustRightInd w:val="0"/>
        <w:ind w:left="567" w:hanging="567"/>
        <w:rPr>
          <w:sz w:val="22"/>
          <w:szCs w:val="22"/>
        </w:rPr>
      </w:pPr>
      <w:r w:rsidRPr="00BE28C4">
        <w:rPr>
          <w:sz w:val="22"/>
          <w:szCs w:val="22"/>
        </w:rPr>
        <w:t>Ciężkie zaburzenia czynności wątroby (patrz punkty 4.2 i 5.2).</w:t>
      </w:r>
    </w:p>
    <w:p w14:paraId="35893C55" w14:textId="77777777" w:rsidR="004E3AC5" w:rsidRPr="00BE28C4" w:rsidRDefault="00907ADD">
      <w:pPr>
        <w:pStyle w:val="ListParagraph1"/>
        <w:numPr>
          <w:ilvl w:val="0"/>
          <w:numId w:val="7"/>
        </w:numPr>
        <w:tabs>
          <w:tab w:val="left" w:pos="567"/>
        </w:tabs>
        <w:autoSpaceDE w:val="0"/>
        <w:autoSpaceDN w:val="0"/>
        <w:adjustRightInd w:val="0"/>
        <w:ind w:left="567" w:hanging="567"/>
        <w:rPr>
          <w:sz w:val="22"/>
          <w:szCs w:val="22"/>
        </w:rPr>
      </w:pPr>
      <w:r w:rsidRPr="00BE28C4">
        <w:rPr>
          <w:sz w:val="22"/>
          <w:szCs w:val="22"/>
        </w:rPr>
        <w:t>Schyłkowa niewydolność nerek (patrz punkty 4.2 i 5.2).</w:t>
      </w:r>
    </w:p>
    <w:p w14:paraId="6CDC4651" w14:textId="77777777" w:rsidR="004E3AC5" w:rsidRPr="00BE28C4" w:rsidRDefault="004E3AC5">
      <w:pPr>
        <w:autoSpaceDE w:val="0"/>
        <w:autoSpaceDN w:val="0"/>
        <w:adjustRightInd w:val="0"/>
        <w:spacing w:line="240" w:lineRule="auto"/>
        <w:rPr>
          <w:szCs w:val="22"/>
        </w:rPr>
      </w:pPr>
    </w:p>
    <w:p w14:paraId="59828F87" w14:textId="77777777" w:rsidR="004E3AC5" w:rsidRPr="00BE28C4" w:rsidRDefault="00907ADD">
      <w:pPr>
        <w:spacing w:line="240" w:lineRule="auto"/>
        <w:ind w:left="567" w:hanging="567"/>
        <w:rPr>
          <w:b/>
          <w:szCs w:val="22"/>
        </w:rPr>
      </w:pPr>
      <w:r w:rsidRPr="00BE28C4">
        <w:rPr>
          <w:b/>
          <w:szCs w:val="22"/>
        </w:rPr>
        <w:t>4.4</w:t>
      </w:r>
      <w:r w:rsidRPr="00BE28C4">
        <w:rPr>
          <w:szCs w:val="22"/>
        </w:rPr>
        <w:tab/>
      </w:r>
      <w:r w:rsidRPr="00BE28C4">
        <w:rPr>
          <w:b/>
          <w:szCs w:val="22"/>
        </w:rPr>
        <w:t>Specjalne ostrzeżenia i środki ostrożności dotyczące stosowania</w:t>
      </w:r>
    </w:p>
    <w:p w14:paraId="00C922DC" w14:textId="77777777" w:rsidR="004E3AC5" w:rsidRPr="00BE28C4" w:rsidRDefault="004E3AC5">
      <w:pPr>
        <w:spacing w:line="240" w:lineRule="auto"/>
        <w:ind w:left="567" w:hanging="567"/>
        <w:rPr>
          <w:bCs/>
          <w:szCs w:val="22"/>
        </w:rPr>
      </w:pPr>
    </w:p>
    <w:p w14:paraId="3F4B0C37" w14:textId="77777777" w:rsidR="004E3AC5" w:rsidRPr="00BE28C4" w:rsidRDefault="00907ADD">
      <w:pPr>
        <w:tabs>
          <w:tab w:val="clear" w:pos="567"/>
        </w:tabs>
        <w:spacing w:line="240" w:lineRule="auto"/>
        <w:rPr>
          <w:szCs w:val="22"/>
        </w:rPr>
      </w:pPr>
      <w:r w:rsidRPr="00BE28C4">
        <w:rPr>
          <w:szCs w:val="22"/>
        </w:rPr>
        <w:t xml:space="preserve">Bezpieczeństwo i tolerancję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należy oceniać w regularnych odstępach czasu.</w:t>
      </w:r>
    </w:p>
    <w:p w14:paraId="3D207FF6" w14:textId="77777777" w:rsidR="004E3AC5" w:rsidRPr="00BE28C4" w:rsidRDefault="004E3AC5">
      <w:pPr>
        <w:tabs>
          <w:tab w:val="clear" w:pos="567"/>
        </w:tabs>
        <w:spacing w:line="240" w:lineRule="auto"/>
        <w:rPr>
          <w:szCs w:val="22"/>
        </w:rPr>
      </w:pPr>
    </w:p>
    <w:p w14:paraId="22D9C77A" w14:textId="77777777" w:rsidR="004E3AC5" w:rsidRPr="00BE28C4" w:rsidRDefault="00907ADD">
      <w:pPr>
        <w:spacing w:line="240" w:lineRule="auto"/>
        <w:rPr>
          <w:szCs w:val="22"/>
        </w:rPr>
      </w:pPr>
      <w:r w:rsidRPr="00BE28C4">
        <w:rPr>
          <w:szCs w:val="22"/>
        </w:rPr>
        <w:t xml:space="preserve">Stosowanie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należy przerwać, jeśli istnieją problemy związane z bezpieczeństwem stosowania lub tolerancją produktu, w tym problemy z podwyższonym ciśnieniem tętniczym (patrz punkt 4.8).</w:t>
      </w:r>
    </w:p>
    <w:p w14:paraId="17C65543" w14:textId="77777777" w:rsidR="004E3AC5" w:rsidRPr="00BE28C4" w:rsidRDefault="004E3AC5">
      <w:pPr>
        <w:spacing w:line="240" w:lineRule="auto"/>
        <w:ind w:left="567" w:hanging="567"/>
        <w:rPr>
          <w:b/>
          <w:szCs w:val="22"/>
        </w:rPr>
      </w:pPr>
    </w:p>
    <w:p w14:paraId="2EC198D3" w14:textId="77777777" w:rsidR="004E3AC5" w:rsidRPr="00BE28C4" w:rsidRDefault="00907ADD">
      <w:pPr>
        <w:spacing w:line="240" w:lineRule="auto"/>
        <w:rPr>
          <w:bCs/>
          <w:szCs w:val="22"/>
          <w:u w:val="single"/>
        </w:rPr>
      </w:pPr>
      <w:r w:rsidRPr="00BE28C4">
        <w:rPr>
          <w:szCs w:val="22"/>
          <w:u w:val="single"/>
        </w:rPr>
        <w:t>Samobójstwo i zachowania samobójcze</w:t>
      </w:r>
    </w:p>
    <w:p w14:paraId="541093F1" w14:textId="77777777" w:rsidR="004E3AC5" w:rsidRPr="00BE28C4" w:rsidRDefault="00907ADD">
      <w:pPr>
        <w:spacing w:line="240" w:lineRule="auto"/>
        <w:rPr>
          <w:szCs w:val="22"/>
        </w:rPr>
      </w:pPr>
      <w:r w:rsidRPr="00BE28C4">
        <w:rPr>
          <w:szCs w:val="22"/>
        </w:rPr>
        <w:t xml:space="preserve">W skład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wchodzi </w:t>
      </w:r>
      <w:proofErr w:type="spellStart"/>
      <w:r w:rsidRPr="00BE28C4">
        <w:rPr>
          <w:szCs w:val="22"/>
        </w:rPr>
        <w:t>bupropion</w:t>
      </w:r>
      <w:proofErr w:type="spellEnd"/>
      <w:r w:rsidRPr="00BE28C4">
        <w:rPr>
          <w:szCs w:val="22"/>
        </w:rPr>
        <w:t xml:space="preserve">. </w:t>
      </w:r>
      <w:r w:rsidRPr="00BE28C4">
        <w:t xml:space="preserve">W niektórych krajach </w:t>
      </w:r>
      <w:proofErr w:type="spellStart"/>
      <w:r w:rsidRPr="00BE28C4">
        <w:t>buproprion</w:t>
      </w:r>
      <w:proofErr w:type="spellEnd"/>
      <w:r w:rsidRPr="00BE28C4">
        <w:t xml:space="preserve"> jest wskazany w leczeniu depresji. </w:t>
      </w:r>
      <w:r w:rsidRPr="00BE28C4">
        <w:rPr>
          <w:szCs w:val="22"/>
        </w:rPr>
        <w:t xml:space="preserve">W przeprowadzonej metaanalizie badań klinicznych z grupą kontrolną otrzymującą placebo, prowadzonych w celu oceny stosowania leków przeciwdepresyjnych u dorosłych pacjentów z zaburzeniami psychicznymi wykazano, że w podgrupie pacjentów w wieku poniżej 25 lat ryzyko </w:t>
      </w:r>
      <w:proofErr w:type="spellStart"/>
      <w:r w:rsidRPr="00BE28C4">
        <w:rPr>
          <w:szCs w:val="22"/>
        </w:rPr>
        <w:t>zachowań</w:t>
      </w:r>
      <w:proofErr w:type="spellEnd"/>
      <w:r w:rsidRPr="00BE28C4">
        <w:rPr>
          <w:szCs w:val="22"/>
        </w:rPr>
        <w:t xml:space="preserve"> samobójczych było większe w przypadku przyjmowania leków przeciwdepresyjnych niż w przypadku przyjmowania placebo. </w:t>
      </w:r>
    </w:p>
    <w:p w14:paraId="1B0874B9" w14:textId="77777777" w:rsidR="004E3AC5" w:rsidRPr="00BE28C4" w:rsidRDefault="004E3AC5">
      <w:pPr>
        <w:spacing w:line="240" w:lineRule="auto"/>
        <w:rPr>
          <w:szCs w:val="22"/>
        </w:rPr>
      </w:pPr>
    </w:p>
    <w:p w14:paraId="2E728D76" w14:textId="77777777" w:rsidR="004E3AC5" w:rsidRPr="00BE28C4" w:rsidRDefault="00907ADD">
      <w:pPr>
        <w:spacing w:line="240" w:lineRule="auto"/>
        <w:rPr>
          <w:szCs w:val="22"/>
        </w:rPr>
      </w:pPr>
      <w:r w:rsidRPr="00BE28C4">
        <w:t>Chociaż</w:t>
      </w:r>
      <w:r w:rsidRPr="00BE28C4">
        <w:rPr>
          <w:szCs w:val="22"/>
        </w:rPr>
        <w:t xml:space="preserve"> w badaniach klinicznych trwających do 56 tygodni, z grupą kontrolną otrzymującą placebo, w których oceniano stosowanie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 leczeniu otyłości u dorosłych pacjentów, nie odnotowano ani jednego samobójstwa lub próby samobójczej u pacjentów otrzymujących </w:t>
      </w:r>
      <w:bookmarkStart w:id="1" w:name="_Hlk482052085"/>
      <w:r w:rsidRPr="00BE28C4">
        <w:rPr>
          <w:szCs w:val="22"/>
        </w:rPr>
        <w:t>skojarzenie</w:t>
      </w:r>
      <w:bookmarkEnd w:id="1"/>
      <w:r w:rsidRPr="00BE28C4">
        <w:rPr>
          <w:szCs w:val="22"/>
        </w:rPr>
        <w:t xml:space="preserv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to </w:t>
      </w:r>
      <w:r w:rsidRPr="00BE28C4">
        <w:t xml:space="preserve">po wprowadzeniu do obrotu produktów zawierających </w:t>
      </w:r>
      <w:r w:rsidRPr="00BE28C4">
        <w:rPr>
          <w:szCs w:val="22"/>
        </w:rPr>
        <w:t>skojarzenie</w:t>
      </w:r>
      <w:r w:rsidRPr="00BE28C4">
        <w:t xml:space="preserve"> </w:t>
      </w:r>
      <w:proofErr w:type="spellStart"/>
      <w:r w:rsidRPr="00BE28C4">
        <w:t>naltrekson</w:t>
      </w:r>
      <w:proofErr w:type="spellEnd"/>
      <w:r w:rsidRPr="00BE28C4">
        <w:t xml:space="preserve"> + </w:t>
      </w:r>
      <w:proofErr w:type="spellStart"/>
      <w:r w:rsidRPr="00BE28C4">
        <w:t>bupropion</w:t>
      </w:r>
      <w:proofErr w:type="spellEnd"/>
      <w:r w:rsidRPr="00BE28C4">
        <w:t xml:space="preserve"> zgłaszano </w:t>
      </w:r>
      <w:r w:rsidRPr="00BE28C4">
        <w:rPr>
          <w:szCs w:val="22"/>
        </w:rPr>
        <w:t xml:space="preserve">przypadki </w:t>
      </w:r>
      <w:proofErr w:type="spellStart"/>
      <w:r w:rsidRPr="00BE28C4">
        <w:t>zachowań</w:t>
      </w:r>
      <w:proofErr w:type="spellEnd"/>
      <w:r w:rsidRPr="00BE28C4">
        <w:t xml:space="preserve"> samobójczych (w tym </w:t>
      </w:r>
      <w:r w:rsidRPr="00BE28C4">
        <w:rPr>
          <w:szCs w:val="22"/>
        </w:rPr>
        <w:t xml:space="preserve">myśli samobójczych) u pacjentów </w:t>
      </w:r>
      <w:r w:rsidRPr="00BE28C4">
        <w:t xml:space="preserve">w każdym wieku </w:t>
      </w:r>
      <w:r w:rsidRPr="00BE28C4">
        <w:rPr>
          <w:szCs w:val="22"/>
        </w:rPr>
        <w:t xml:space="preserve">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t>
      </w:r>
    </w:p>
    <w:p w14:paraId="7BA9C0CE" w14:textId="77777777" w:rsidR="004E3AC5" w:rsidRPr="00BE28C4" w:rsidRDefault="004E3AC5">
      <w:pPr>
        <w:spacing w:line="240" w:lineRule="auto"/>
        <w:rPr>
          <w:szCs w:val="22"/>
        </w:rPr>
      </w:pPr>
    </w:p>
    <w:p w14:paraId="3A568FFA" w14:textId="77777777" w:rsidR="004E3AC5" w:rsidRPr="00BE28C4" w:rsidRDefault="00907ADD">
      <w:pPr>
        <w:spacing w:line="240" w:lineRule="auto"/>
        <w:rPr>
          <w:szCs w:val="22"/>
        </w:rPr>
      </w:pPr>
      <w:r w:rsidRPr="00BE28C4">
        <w:rPr>
          <w:szCs w:val="22"/>
        </w:rPr>
        <w:t xml:space="preserve">W trakcie leczenia skojarzeniem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szczególnie na jego początku i po każdej zmianie dawki, zaleca się dokładną obserwację pacjentów, zwłaszcza pacjentów z grupy wysokiego ryzyka. Pacjentów (a także ich opiekunów) należy poinformować o konieczności bacznej obserwacji pacjenta pod kątem jakiegokolwiek pogorszenia stanu klinicznego, wystąpienia </w:t>
      </w:r>
      <w:proofErr w:type="spellStart"/>
      <w:r w:rsidRPr="00BE28C4">
        <w:rPr>
          <w:szCs w:val="22"/>
        </w:rPr>
        <w:t>zachowań</w:t>
      </w:r>
      <w:proofErr w:type="spellEnd"/>
      <w:r w:rsidRPr="00BE28C4">
        <w:rPr>
          <w:szCs w:val="22"/>
        </w:rPr>
        <w:t xml:space="preserve"> lub myśli samobójczych oraz nietypowych zmian w zachowaniu, a także o konieczności natychmiastowego zgłoszenia się do lekarza, gdyby takie objawy wystąpiły.</w:t>
      </w:r>
    </w:p>
    <w:p w14:paraId="25DE4E73" w14:textId="77777777" w:rsidR="004E3AC5" w:rsidRPr="00BE28C4" w:rsidRDefault="004E3AC5">
      <w:pPr>
        <w:spacing w:line="240" w:lineRule="auto"/>
        <w:rPr>
          <w:szCs w:val="22"/>
        </w:rPr>
      </w:pPr>
    </w:p>
    <w:p w14:paraId="5C746971" w14:textId="77777777" w:rsidR="004E3AC5" w:rsidRPr="00BE28C4" w:rsidRDefault="00907ADD">
      <w:pPr>
        <w:spacing w:line="240" w:lineRule="auto"/>
        <w:rPr>
          <w:szCs w:val="22"/>
          <w:u w:val="single"/>
        </w:rPr>
      </w:pPr>
      <w:r w:rsidRPr="00BE28C4">
        <w:rPr>
          <w:szCs w:val="22"/>
          <w:u w:val="single"/>
        </w:rPr>
        <w:t>Napady drgawkowe</w:t>
      </w:r>
    </w:p>
    <w:p w14:paraId="78FE01D1" w14:textId="77777777" w:rsidR="004E3AC5" w:rsidRPr="00BE28C4" w:rsidRDefault="00907ADD">
      <w:pPr>
        <w:spacing w:line="240" w:lineRule="auto"/>
        <w:rPr>
          <w:szCs w:val="22"/>
        </w:rPr>
      </w:pPr>
      <w:r w:rsidRPr="00BE28C4">
        <w:rPr>
          <w:szCs w:val="22"/>
        </w:rPr>
        <w:t xml:space="preserve">Stosowanie </w:t>
      </w:r>
      <w:proofErr w:type="spellStart"/>
      <w:r w:rsidRPr="00BE28C4">
        <w:rPr>
          <w:szCs w:val="22"/>
        </w:rPr>
        <w:t>bupropionu</w:t>
      </w:r>
      <w:proofErr w:type="spellEnd"/>
      <w:r w:rsidRPr="00BE28C4">
        <w:rPr>
          <w:szCs w:val="22"/>
        </w:rPr>
        <w:t xml:space="preserve"> wiąże się z proporcjonalnym do dawki ryzykiem wystąpienia napadów drgawkowych, przy czym w przypadku </w:t>
      </w:r>
      <w:proofErr w:type="spellStart"/>
      <w:r w:rsidRPr="00BE28C4">
        <w:rPr>
          <w:szCs w:val="22"/>
        </w:rPr>
        <w:t>bupropionu</w:t>
      </w:r>
      <w:proofErr w:type="spellEnd"/>
      <w:r w:rsidRPr="00BE28C4">
        <w:rPr>
          <w:szCs w:val="22"/>
        </w:rPr>
        <w:t xml:space="preserve"> w postaci o przedłużonym uwalnianiu (ang. </w:t>
      </w:r>
      <w:proofErr w:type="spellStart"/>
      <w:r w:rsidRPr="00BE28C4">
        <w:rPr>
          <w:szCs w:val="22"/>
        </w:rPr>
        <w:t>sustained</w:t>
      </w:r>
      <w:proofErr w:type="spellEnd"/>
      <w:r w:rsidRPr="00BE28C4">
        <w:rPr>
          <w:szCs w:val="22"/>
        </w:rPr>
        <w:t xml:space="preserve"> </w:t>
      </w:r>
      <w:proofErr w:type="spellStart"/>
      <w:r w:rsidRPr="00BE28C4">
        <w:rPr>
          <w:szCs w:val="22"/>
        </w:rPr>
        <w:t>release</w:t>
      </w:r>
      <w:proofErr w:type="spellEnd"/>
      <w:r w:rsidRPr="00BE28C4">
        <w:rPr>
          <w:szCs w:val="22"/>
        </w:rPr>
        <w:t xml:space="preserve">, SR) w dawce 300 mg oszacowana częstość występowania napadów wynosi 0,1%. Po jednorazowym podaniu dawki 180 mg </w:t>
      </w:r>
      <w:proofErr w:type="spellStart"/>
      <w:r w:rsidRPr="00BE28C4">
        <w:rPr>
          <w:szCs w:val="22"/>
        </w:rPr>
        <w:t>bupropionu</w:t>
      </w:r>
      <w:proofErr w:type="spellEnd"/>
      <w:r w:rsidRPr="00BE28C4">
        <w:rPr>
          <w:szCs w:val="22"/>
        </w:rPr>
        <w:t xml:space="preserve"> w postaci tabletek zawierających </w:t>
      </w:r>
      <w:r w:rsidRPr="00BE28C4">
        <w:rPr>
          <w:szCs w:val="22"/>
        </w:rPr>
        <w:lastRenderedPageBreak/>
        <w:t xml:space="preserve">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stężenie </w:t>
      </w:r>
      <w:proofErr w:type="spellStart"/>
      <w:r w:rsidRPr="00BE28C4">
        <w:rPr>
          <w:szCs w:val="22"/>
        </w:rPr>
        <w:t>bupropionu</w:t>
      </w:r>
      <w:proofErr w:type="spellEnd"/>
      <w:r w:rsidRPr="00BE28C4">
        <w:rPr>
          <w:szCs w:val="22"/>
        </w:rPr>
        <w:t xml:space="preserve"> i jego metabolitów w osoczu osiąga podobne wartości jak po jednorazowym podaniu dawki 150 mg </w:t>
      </w:r>
      <w:proofErr w:type="spellStart"/>
      <w:r w:rsidRPr="00BE28C4">
        <w:rPr>
          <w:szCs w:val="22"/>
        </w:rPr>
        <w:t>bupropionu</w:t>
      </w:r>
      <w:proofErr w:type="spellEnd"/>
      <w:r w:rsidRPr="00BE28C4">
        <w:rPr>
          <w:szCs w:val="22"/>
        </w:rPr>
        <w:t xml:space="preserve"> w postaci SR. Nie przeprowadzono natomiast żadnego badania w celu porównania wartości stężenia </w:t>
      </w:r>
      <w:proofErr w:type="spellStart"/>
      <w:r w:rsidRPr="00BE28C4">
        <w:rPr>
          <w:szCs w:val="22"/>
        </w:rPr>
        <w:t>bupropionu</w:t>
      </w:r>
      <w:proofErr w:type="spellEnd"/>
      <w:r w:rsidRPr="00BE28C4">
        <w:rPr>
          <w:szCs w:val="22"/>
        </w:rPr>
        <w:t xml:space="preserve"> i jego metabolitów w osoczu po podaniu wielokrotnym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 postaci tabletek, z wartościami osiąganymi po podaniu </w:t>
      </w:r>
      <w:proofErr w:type="spellStart"/>
      <w:r w:rsidRPr="00BE28C4">
        <w:rPr>
          <w:szCs w:val="22"/>
        </w:rPr>
        <w:t>bupropionu</w:t>
      </w:r>
      <w:proofErr w:type="spellEnd"/>
      <w:r w:rsidRPr="00BE28C4">
        <w:rPr>
          <w:szCs w:val="22"/>
        </w:rPr>
        <w:t xml:space="preserve"> w postaci tabletek SR. Ponieważ nie wiadomo, czy za ryzyko wystąpienia napadu drgawkowego po podaniu </w:t>
      </w:r>
      <w:proofErr w:type="spellStart"/>
      <w:r w:rsidRPr="00BE28C4">
        <w:rPr>
          <w:szCs w:val="22"/>
        </w:rPr>
        <w:t>bupropionu</w:t>
      </w:r>
      <w:proofErr w:type="spellEnd"/>
      <w:r w:rsidRPr="00BE28C4">
        <w:rPr>
          <w:szCs w:val="22"/>
        </w:rPr>
        <w:t xml:space="preserve"> odpowiedzialny jest </w:t>
      </w:r>
      <w:proofErr w:type="spellStart"/>
      <w:r w:rsidRPr="00BE28C4">
        <w:rPr>
          <w:szCs w:val="22"/>
        </w:rPr>
        <w:t>bupropion</w:t>
      </w:r>
      <w:proofErr w:type="spellEnd"/>
      <w:r w:rsidRPr="00BE28C4">
        <w:rPr>
          <w:szCs w:val="22"/>
        </w:rPr>
        <w:t xml:space="preserve">, czy któryś z jego metabolitów, a ponadto nie ma żadnych danych, które wykazywałyby podobny poziom stężeń w osoczu po podaniu wielokrotnym, nie ma pewności, czy w przypadku stosowania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 dawkach wielokrotnych stwierdza się podobną częstość występowania napadów drgawkowych co w przypadku stosowania </w:t>
      </w:r>
      <w:proofErr w:type="spellStart"/>
      <w:r w:rsidRPr="00BE28C4">
        <w:rPr>
          <w:szCs w:val="22"/>
        </w:rPr>
        <w:t>bupropionu</w:t>
      </w:r>
      <w:proofErr w:type="spellEnd"/>
      <w:r w:rsidRPr="00BE28C4">
        <w:rPr>
          <w:szCs w:val="22"/>
        </w:rPr>
        <w:t xml:space="preserve"> w postaci SR w dawce 300 mg. </w:t>
      </w:r>
      <w:r w:rsidRPr="00BE28C4">
        <w:rPr>
          <w:szCs w:val="22"/>
        </w:rPr>
        <w:br/>
        <w:t xml:space="preserve">W badaniach klinicznych częstość występowania napadów drgawkowych u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wynosiła około 0,06% (2/3239 osób), a u pacjentów otrzymujących placebo — 0,00% (0/1515 osób). Ani przytoczona powyżej częstość występowania napadów drgawkowych, ani częstość występowania napadów u pacjentów, którzy otrzymali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 szeroko zakrojonym badaniu klinicznym oceniającym parametry sercowo-naczyniowe (CVOT) nie była wyższa od częstości występowania napadów </w:t>
      </w:r>
      <w:r w:rsidRPr="00BE28C4">
        <w:rPr>
          <w:szCs w:val="22"/>
        </w:rPr>
        <w:br/>
        <w:t xml:space="preserve">w przypadku stosowania </w:t>
      </w:r>
      <w:proofErr w:type="spellStart"/>
      <w:r w:rsidRPr="00BE28C4">
        <w:rPr>
          <w:szCs w:val="22"/>
        </w:rPr>
        <w:t>bupropionu</w:t>
      </w:r>
      <w:proofErr w:type="spellEnd"/>
      <w:r w:rsidRPr="00BE28C4">
        <w:rPr>
          <w:szCs w:val="22"/>
        </w:rPr>
        <w:t xml:space="preserve"> w </w:t>
      </w:r>
      <w:proofErr w:type="spellStart"/>
      <w:r w:rsidRPr="00BE28C4">
        <w:rPr>
          <w:szCs w:val="22"/>
        </w:rPr>
        <w:t>monoterapii</w:t>
      </w:r>
      <w:proofErr w:type="spellEnd"/>
      <w:r w:rsidRPr="00BE28C4">
        <w:rPr>
          <w:szCs w:val="22"/>
        </w:rPr>
        <w:t xml:space="preserve"> w zarejestrowanych dawkach.</w:t>
      </w:r>
    </w:p>
    <w:p w14:paraId="4398B319" w14:textId="77777777" w:rsidR="004E3AC5" w:rsidRPr="00BE28C4" w:rsidRDefault="004E3AC5">
      <w:pPr>
        <w:spacing w:line="240" w:lineRule="auto"/>
        <w:rPr>
          <w:szCs w:val="22"/>
        </w:rPr>
      </w:pPr>
    </w:p>
    <w:p w14:paraId="541BAFCE" w14:textId="77777777" w:rsidR="004E3AC5" w:rsidRPr="00BE28C4" w:rsidRDefault="00907ADD">
      <w:pPr>
        <w:spacing w:line="240" w:lineRule="auto"/>
        <w:rPr>
          <w:szCs w:val="22"/>
        </w:rPr>
      </w:pPr>
      <w:r w:rsidRPr="00BE28C4">
        <w:rPr>
          <w:szCs w:val="22"/>
        </w:rPr>
        <w:t xml:space="preserve">Ryzyko napadów drgawkowych zależy ponadto od czynników leżących po stronie pacjenta, sytuacji klinicznej oraz od stosowanych jednocześnie innych produktów leczniczych, co należy wziąć pod uwagę podejmując decyzję o rozpoczęciu leczenia skojarzeniem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należy odstawić i nie wolno go ponownie włączać, jeśli w trakcie jego stosowania wystąpił u pacjenta napad drgawek. Należy z rozwagą przepisywać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pacjentom, u których występują czynniki predysponujące do występowania napadów drgawkowych, w tym: </w:t>
      </w:r>
    </w:p>
    <w:p w14:paraId="453456FD" w14:textId="77777777" w:rsidR="004E3AC5" w:rsidRPr="00BE28C4" w:rsidRDefault="00907ADD">
      <w:pPr>
        <w:numPr>
          <w:ilvl w:val="0"/>
          <w:numId w:val="8"/>
        </w:numPr>
        <w:spacing w:line="240" w:lineRule="auto"/>
        <w:ind w:left="567" w:hanging="567"/>
        <w:rPr>
          <w:szCs w:val="22"/>
        </w:rPr>
      </w:pPr>
      <w:r w:rsidRPr="00BE28C4">
        <w:rPr>
          <w:szCs w:val="22"/>
        </w:rPr>
        <w:t xml:space="preserve">uraz głowy w wywiadzie; </w:t>
      </w:r>
    </w:p>
    <w:p w14:paraId="03FA09FF" w14:textId="77777777" w:rsidR="004E3AC5" w:rsidRPr="00BE28C4" w:rsidRDefault="00907ADD">
      <w:pPr>
        <w:numPr>
          <w:ilvl w:val="0"/>
          <w:numId w:val="8"/>
        </w:numPr>
        <w:spacing w:line="240" w:lineRule="auto"/>
        <w:ind w:left="567" w:hanging="567"/>
        <w:rPr>
          <w:szCs w:val="22"/>
        </w:rPr>
      </w:pPr>
      <w:r w:rsidRPr="00BE28C4">
        <w:rPr>
          <w:szCs w:val="22"/>
        </w:rPr>
        <w:t>nadużywanie alkoholu lub uzależnienie od kokainy bądź innych substancji stymulujących;</w:t>
      </w:r>
    </w:p>
    <w:p w14:paraId="2A5E2633" w14:textId="77777777" w:rsidR="004E3AC5" w:rsidRPr="00BE28C4" w:rsidRDefault="00907ADD">
      <w:pPr>
        <w:numPr>
          <w:ilvl w:val="0"/>
          <w:numId w:val="8"/>
        </w:numPr>
        <w:spacing w:line="240" w:lineRule="auto"/>
        <w:ind w:left="567" w:hanging="567"/>
        <w:rPr>
          <w:szCs w:val="22"/>
        </w:rPr>
      </w:pPr>
      <w:r w:rsidRPr="00BE28C4">
        <w:rPr>
          <w:szCs w:val="22"/>
        </w:rPr>
        <w:t xml:space="preserve">ponieważ stosowanie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może prowadzić do zmniejszenia stężenia glukozy we krwi u chorych na cukrzycę, dawkowanie insuliny i (lub) doustnych przeciwcukrzycowych produktów leczniczych należy u tych chorych zweryfikować w celu zminimalizowania ryzyka hipoglikemii, która może predysponować do napadów drgawkowych;</w:t>
      </w:r>
    </w:p>
    <w:p w14:paraId="78EC2C98" w14:textId="77777777" w:rsidR="004E3AC5" w:rsidRPr="00BE28C4" w:rsidRDefault="00907ADD">
      <w:pPr>
        <w:numPr>
          <w:ilvl w:val="0"/>
          <w:numId w:val="8"/>
        </w:numPr>
        <w:spacing w:line="240" w:lineRule="auto"/>
        <w:ind w:left="567" w:hanging="567"/>
        <w:rPr>
          <w:szCs w:val="22"/>
        </w:rPr>
      </w:pPr>
      <w:r w:rsidRPr="00BE28C4">
        <w:rPr>
          <w:szCs w:val="22"/>
        </w:rPr>
        <w:t xml:space="preserve">jednoczesne stosowanie innych produktów leczniczych mogących obniżać próg drgawkowy, w tym </w:t>
      </w:r>
      <w:proofErr w:type="spellStart"/>
      <w:r w:rsidRPr="00BE28C4">
        <w:rPr>
          <w:szCs w:val="22"/>
        </w:rPr>
        <w:t>przeciwpsychotycznych</w:t>
      </w:r>
      <w:proofErr w:type="spellEnd"/>
      <w:r w:rsidRPr="00BE28C4">
        <w:rPr>
          <w:szCs w:val="22"/>
        </w:rPr>
        <w:t xml:space="preserve"> produktów leczniczych, przeciwdepresyjnych produktów leczniczych, przeciwmalarycznych produktów leczniczych, </w:t>
      </w:r>
      <w:proofErr w:type="spellStart"/>
      <w:r w:rsidRPr="00BE28C4">
        <w:rPr>
          <w:szCs w:val="22"/>
        </w:rPr>
        <w:t>tramadolu</w:t>
      </w:r>
      <w:proofErr w:type="spellEnd"/>
      <w:r w:rsidRPr="00BE28C4">
        <w:rPr>
          <w:szCs w:val="22"/>
        </w:rPr>
        <w:t xml:space="preserve">, teofiliny, </w:t>
      </w:r>
      <w:proofErr w:type="spellStart"/>
      <w:r w:rsidRPr="00BE28C4">
        <w:rPr>
          <w:szCs w:val="22"/>
        </w:rPr>
        <w:t>glikokortykosteroidów</w:t>
      </w:r>
      <w:proofErr w:type="spellEnd"/>
      <w:r w:rsidRPr="00BE28C4">
        <w:rPr>
          <w:szCs w:val="22"/>
        </w:rPr>
        <w:t xml:space="preserve"> podawanych ogólnie, </w:t>
      </w:r>
      <w:proofErr w:type="spellStart"/>
      <w:r w:rsidRPr="00BE28C4">
        <w:rPr>
          <w:szCs w:val="22"/>
        </w:rPr>
        <w:t>chinolonów</w:t>
      </w:r>
      <w:proofErr w:type="spellEnd"/>
      <w:r w:rsidRPr="00BE28C4">
        <w:rPr>
          <w:szCs w:val="22"/>
        </w:rPr>
        <w:t xml:space="preserve"> oraz przeciwhistaminowych produktów leczniczych o działaniu </w:t>
      </w:r>
      <w:proofErr w:type="spellStart"/>
      <w:r w:rsidRPr="00BE28C4">
        <w:rPr>
          <w:szCs w:val="22"/>
        </w:rPr>
        <w:t>sedacyjnym</w:t>
      </w:r>
      <w:proofErr w:type="spellEnd"/>
      <w:r w:rsidRPr="00BE28C4">
        <w:rPr>
          <w:szCs w:val="22"/>
        </w:rPr>
        <w:t>.</w:t>
      </w:r>
    </w:p>
    <w:p w14:paraId="1777BAA8" w14:textId="77777777" w:rsidR="004E3AC5" w:rsidRPr="00BE28C4" w:rsidRDefault="004E3AC5">
      <w:pPr>
        <w:spacing w:line="240" w:lineRule="auto"/>
        <w:rPr>
          <w:szCs w:val="22"/>
        </w:rPr>
      </w:pPr>
    </w:p>
    <w:p w14:paraId="6740872F" w14:textId="77777777" w:rsidR="004E3AC5" w:rsidRPr="00BE28C4" w:rsidRDefault="00907ADD">
      <w:pPr>
        <w:spacing w:line="240" w:lineRule="auto"/>
        <w:rPr>
          <w:szCs w:val="22"/>
        </w:rPr>
      </w:pPr>
      <w:r w:rsidRPr="00BE28C4">
        <w:rPr>
          <w:szCs w:val="22"/>
        </w:rPr>
        <w:t xml:space="preserve">Podczas leczenia skojarzeniem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spożycie alkoholu należy ograniczyć do minimum bądź całkowicie z niego zrezygnować.</w:t>
      </w:r>
    </w:p>
    <w:p w14:paraId="318F1335" w14:textId="77777777" w:rsidR="004E3AC5" w:rsidRPr="00BE28C4" w:rsidRDefault="004E3AC5">
      <w:pPr>
        <w:spacing w:line="240" w:lineRule="auto"/>
        <w:rPr>
          <w:szCs w:val="22"/>
        </w:rPr>
      </w:pPr>
    </w:p>
    <w:p w14:paraId="58E098C4" w14:textId="3B25935F" w:rsidR="004E3AC5" w:rsidRPr="00BE28C4" w:rsidRDefault="00907ADD">
      <w:pPr>
        <w:keepNext/>
        <w:spacing w:line="240" w:lineRule="auto"/>
        <w:rPr>
          <w:szCs w:val="22"/>
          <w:u w:val="single"/>
        </w:rPr>
      </w:pPr>
      <w:r w:rsidRPr="00BE28C4">
        <w:rPr>
          <w:szCs w:val="22"/>
          <w:u w:val="single"/>
        </w:rPr>
        <w:t xml:space="preserve">Pacjenci otrzymujący </w:t>
      </w:r>
      <w:proofErr w:type="spellStart"/>
      <w:r w:rsidRPr="00BE28C4">
        <w:rPr>
          <w:szCs w:val="22"/>
          <w:u w:val="single"/>
        </w:rPr>
        <w:t>opioid</w:t>
      </w:r>
      <w:r w:rsidR="002405B8" w:rsidRPr="00BE28C4">
        <w:rPr>
          <w:szCs w:val="22"/>
          <w:u w:val="single"/>
        </w:rPr>
        <w:t>y</w:t>
      </w:r>
      <w:proofErr w:type="spellEnd"/>
    </w:p>
    <w:p w14:paraId="1E3E63D6" w14:textId="77777777" w:rsidR="002405B8" w:rsidRPr="00BE28C4" w:rsidRDefault="002405B8">
      <w:pPr>
        <w:spacing w:line="240" w:lineRule="auto"/>
        <w:rPr>
          <w:szCs w:val="22"/>
        </w:rPr>
      </w:pPr>
    </w:p>
    <w:p w14:paraId="0691700D" w14:textId="1F3C7E64" w:rsidR="002405B8" w:rsidRPr="00BE28C4" w:rsidRDefault="002405B8">
      <w:pPr>
        <w:spacing w:line="240" w:lineRule="auto"/>
        <w:rPr>
          <w:szCs w:val="22"/>
        </w:rPr>
      </w:pPr>
      <w:r w:rsidRPr="00BE28C4">
        <w:rPr>
          <w:szCs w:val="22"/>
        </w:rPr>
        <w:t xml:space="preserve">Pacjentów należy ostrzec przed jednoczesnym stosowaniem </w:t>
      </w:r>
      <w:proofErr w:type="spellStart"/>
      <w:r w:rsidRPr="00BE28C4">
        <w:rPr>
          <w:szCs w:val="22"/>
        </w:rPr>
        <w:t>opioidów</w:t>
      </w:r>
      <w:proofErr w:type="spellEnd"/>
      <w:r w:rsidRPr="00BE28C4">
        <w:rPr>
          <w:szCs w:val="22"/>
        </w:rPr>
        <w:t xml:space="preserve"> podczas leczenia </w:t>
      </w:r>
      <w:r w:rsidR="00E57B09">
        <w:rPr>
          <w:szCs w:val="22"/>
        </w:rPr>
        <w:t xml:space="preserve">skojarzeniem </w:t>
      </w:r>
      <w:proofErr w:type="spellStart"/>
      <w:r w:rsidRPr="00BE28C4">
        <w:rPr>
          <w:szCs w:val="22"/>
        </w:rPr>
        <w:t>naltrekson</w:t>
      </w:r>
      <w:proofErr w:type="spellEnd"/>
      <w:r w:rsidR="00A62774">
        <w:rPr>
          <w:szCs w:val="22"/>
        </w:rPr>
        <w:t xml:space="preserve"> + </w:t>
      </w:r>
      <w:proofErr w:type="spellStart"/>
      <w:r w:rsidRPr="00BE28C4">
        <w:rPr>
          <w:szCs w:val="22"/>
        </w:rPr>
        <w:t>bupropion</w:t>
      </w:r>
      <w:proofErr w:type="spellEnd"/>
      <w:r w:rsidRPr="00BE28C4">
        <w:rPr>
          <w:szCs w:val="22"/>
        </w:rPr>
        <w:t xml:space="preserve"> (patrz punkt</w:t>
      </w:r>
      <w:r w:rsidR="00383757" w:rsidRPr="00BE28C4">
        <w:rPr>
          <w:szCs w:val="22"/>
        </w:rPr>
        <w:t>y</w:t>
      </w:r>
      <w:r w:rsidRPr="00BE28C4">
        <w:rPr>
          <w:szCs w:val="22"/>
        </w:rPr>
        <w:t xml:space="preserve"> 4.3 i 4.5).</w:t>
      </w:r>
    </w:p>
    <w:p w14:paraId="0834FCF5" w14:textId="77777777" w:rsidR="002405B8" w:rsidRPr="00BE28C4" w:rsidRDefault="002405B8">
      <w:pPr>
        <w:spacing w:line="240" w:lineRule="auto"/>
        <w:rPr>
          <w:szCs w:val="22"/>
        </w:rPr>
      </w:pPr>
    </w:p>
    <w:p w14:paraId="0E3B799D" w14:textId="6EC97700" w:rsidR="002405B8" w:rsidRPr="00BE28C4" w:rsidRDefault="00907ADD">
      <w:pPr>
        <w:spacing w:line="240" w:lineRule="auto"/>
        <w:rPr>
          <w:szCs w:val="22"/>
        </w:rPr>
      </w:pPr>
      <w:r w:rsidRPr="00BE28C4">
        <w:rPr>
          <w:szCs w:val="22"/>
        </w:rPr>
        <w:t xml:space="preserve">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nie wolno podawać pacjentom </w:t>
      </w:r>
      <w:r w:rsidR="002405B8" w:rsidRPr="00BE28C4">
        <w:rPr>
          <w:szCs w:val="22"/>
        </w:rPr>
        <w:t xml:space="preserve">aktualnie uzależnionym od </w:t>
      </w:r>
      <w:proofErr w:type="spellStart"/>
      <w:r w:rsidR="002405B8" w:rsidRPr="00BE28C4">
        <w:rPr>
          <w:szCs w:val="22"/>
        </w:rPr>
        <w:t>opioidów</w:t>
      </w:r>
      <w:proofErr w:type="spellEnd"/>
      <w:r w:rsidR="002405B8" w:rsidRPr="00BE28C4">
        <w:rPr>
          <w:szCs w:val="22"/>
        </w:rPr>
        <w:t xml:space="preserve">, w tym od leków zawierających </w:t>
      </w:r>
      <w:proofErr w:type="spellStart"/>
      <w:r w:rsidR="002405B8" w:rsidRPr="00BE28C4">
        <w:rPr>
          <w:szCs w:val="22"/>
        </w:rPr>
        <w:t>opioidy</w:t>
      </w:r>
      <w:proofErr w:type="spellEnd"/>
      <w:r w:rsidR="002405B8" w:rsidRPr="00BE28C4">
        <w:rPr>
          <w:szCs w:val="22"/>
        </w:rPr>
        <w:t xml:space="preserve"> lub pacjentom leczonym agonistami </w:t>
      </w:r>
      <w:proofErr w:type="spellStart"/>
      <w:r w:rsidR="002405B8" w:rsidRPr="00BE28C4">
        <w:rPr>
          <w:szCs w:val="22"/>
        </w:rPr>
        <w:t>opioidów</w:t>
      </w:r>
      <w:proofErr w:type="spellEnd"/>
      <w:r w:rsidR="002405B8" w:rsidRPr="00BE28C4">
        <w:rPr>
          <w:szCs w:val="22"/>
        </w:rPr>
        <w:t xml:space="preserve"> stosowanymi w uzależnieniu od </w:t>
      </w:r>
      <w:proofErr w:type="spellStart"/>
      <w:r w:rsidR="002405B8" w:rsidRPr="00BE28C4">
        <w:rPr>
          <w:szCs w:val="22"/>
        </w:rPr>
        <w:t>opioidów</w:t>
      </w:r>
      <w:proofErr w:type="spellEnd"/>
      <w:r w:rsidR="002405B8" w:rsidRPr="00BE28C4">
        <w:rPr>
          <w:szCs w:val="22"/>
        </w:rPr>
        <w:t xml:space="preserve"> (np. metadon, </w:t>
      </w:r>
      <w:proofErr w:type="spellStart"/>
      <w:r w:rsidR="002405B8" w:rsidRPr="00BE28C4">
        <w:rPr>
          <w:szCs w:val="22"/>
        </w:rPr>
        <w:t>buprenorfina</w:t>
      </w:r>
      <w:proofErr w:type="spellEnd"/>
      <w:r w:rsidR="002405B8" w:rsidRPr="00BE28C4">
        <w:rPr>
          <w:szCs w:val="22"/>
        </w:rPr>
        <w:t xml:space="preserve">) </w:t>
      </w:r>
      <w:r w:rsidR="00383757" w:rsidRPr="00BE28C4">
        <w:rPr>
          <w:szCs w:val="22"/>
        </w:rPr>
        <w:t xml:space="preserve">a także w okresie bezpośrednio po nagłym odstawieniu </w:t>
      </w:r>
      <w:proofErr w:type="spellStart"/>
      <w:r w:rsidR="00383757" w:rsidRPr="00BE28C4">
        <w:rPr>
          <w:szCs w:val="22"/>
        </w:rPr>
        <w:t>opioidów</w:t>
      </w:r>
      <w:proofErr w:type="spellEnd"/>
      <w:r w:rsidR="002405B8" w:rsidRPr="00BE28C4">
        <w:rPr>
          <w:szCs w:val="22"/>
        </w:rPr>
        <w:t xml:space="preserve"> (patrz punkt</w:t>
      </w:r>
      <w:r w:rsidR="00383757" w:rsidRPr="00BE28C4">
        <w:rPr>
          <w:szCs w:val="22"/>
        </w:rPr>
        <w:t>y</w:t>
      </w:r>
      <w:r w:rsidR="002405B8" w:rsidRPr="00BE28C4">
        <w:rPr>
          <w:szCs w:val="22"/>
        </w:rPr>
        <w:t xml:space="preserve"> 4.3 i 4.5). </w:t>
      </w:r>
    </w:p>
    <w:p w14:paraId="275478F3" w14:textId="77777777" w:rsidR="002405B8" w:rsidRPr="00BE28C4" w:rsidRDefault="002405B8">
      <w:pPr>
        <w:spacing w:line="240" w:lineRule="auto"/>
        <w:rPr>
          <w:szCs w:val="22"/>
        </w:rPr>
      </w:pPr>
    </w:p>
    <w:p w14:paraId="02D46DB8" w14:textId="588DA790" w:rsidR="00F4149A" w:rsidRDefault="00A62774" w:rsidP="0030084F">
      <w:pPr>
        <w:spacing w:line="240" w:lineRule="auto"/>
        <w:rPr>
          <w:szCs w:val="22"/>
        </w:rPr>
      </w:pPr>
      <w:r>
        <w:rPr>
          <w:szCs w:val="22"/>
        </w:rPr>
        <w:t xml:space="preserve">Skojarzenie </w:t>
      </w:r>
      <w:proofErr w:type="spellStart"/>
      <w:r>
        <w:rPr>
          <w:szCs w:val="22"/>
        </w:rPr>
        <w:t>n</w:t>
      </w:r>
      <w:r w:rsidR="0030084F" w:rsidRPr="00BE28C4">
        <w:rPr>
          <w:szCs w:val="22"/>
        </w:rPr>
        <w:t>altrekson</w:t>
      </w:r>
      <w:proofErr w:type="spellEnd"/>
      <w:r>
        <w:rPr>
          <w:szCs w:val="22"/>
        </w:rPr>
        <w:t xml:space="preserve"> + </w:t>
      </w:r>
      <w:proofErr w:type="spellStart"/>
      <w:r w:rsidR="0030084F" w:rsidRPr="00BE28C4">
        <w:rPr>
          <w:szCs w:val="22"/>
        </w:rPr>
        <w:t>bupropion</w:t>
      </w:r>
      <w:proofErr w:type="spellEnd"/>
      <w:r w:rsidR="0030084F" w:rsidRPr="00BE28C4">
        <w:rPr>
          <w:szCs w:val="22"/>
        </w:rPr>
        <w:t xml:space="preserve"> można </w:t>
      </w:r>
      <w:r w:rsidR="00892998" w:rsidRPr="00BE28C4">
        <w:rPr>
          <w:szCs w:val="22"/>
        </w:rPr>
        <w:t xml:space="preserve">zacząć </w:t>
      </w:r>
      <w:r w:rsidR="0030084F" w:rsidRPr="00BE28C4">
        <w:rPr>
          <w:szCs w:val="22"/>
        </w:rPr>
        <w:t xml:space="preserve">stosować z zachowaniem ostrożności po </w:t>
      </w:r>
      <w:r w:rsidR="00892998" w:rsidRPr="00BE28C4">
        <w:rPr>
          <w:szCs w:val="22"/>
        </w:rPr>
        <w:t>upływie</w:t>
      </w:r>
      <w:r w:rsidR="0030084F" w:rsidRPr="00BE28C4">
        <w:rPr>
          <w:szCs w:val="22"/>
        </w:rPr>
        <w:t xml:space="preserve"> co najmniej 7 do 10 dni</w:t>
      </w:r>
      <w:r w:rsidR="00892998" w:rsidRPr="00BE28C4">
        <w:rPr>
          <w:szCs w:val="22"/>
        </w:rPr>
        <w:t xml:space="preserve"> od odstawienia stosowanych </w:t>
      </w:r>
      <w:proofErr w:type="spellStart"/>
      <w:r w:rsidR="00892998" w:rsidRPr="00BE28C4">
        <w:rPr>
          <w:szCs w:val="22"/>
        </w:rPr>
        <w:t>opioidów</w:t>
      </w:r>
      <w:proofErr w:type="spellEnd"/>
      <w:r w:rsidR="0030084F" w:rsidRPr="00BE28C4">
        <w:rPr>
          <w:szCs w:val="22"/>
        </w:rPr>
        <w:t xml:space="preserve">, aby zapobiec wystąpieniu objawów </w:t>
      </w:r>
      <w:proofErr w:type="spellStart"/>
      <w:r w:rsidR="0030084F" w:rsidRPr="00BE28C4">
        <w:rPr>
          <w:szCs w:val="22"/>
        </w:rPr>
        <w:t>odstawien</w:t>
      </w:r>
      <w:r w:rsidR="00892998" w:rsidRPr="00BE28C4">
        <w:rPr>
          <w:szCs w:val="22"/>
        </w:rPr>
        <w:t>nych</w:t>
      </w:r>
      <w:proofErr w:type="spellEnd"/>
      <w:r w:rsidR="0030084F" w:rsidRPr="00BE28C4">
        <w:rPr>
          <w:szCs w:val="22"/>
        </w:rPr>
        <w:t xml:space="preserve">. W przypadku podejrzenia stosowania </w:t>
      </w:r>
      <w:proofErr w:type="spellStart"/>
      <w:r w:rsidR="0030084F" w:rsidRPr="00BE28C4">
        <w:rPr>
          <w:szCs w:val="22"/>
        </w:rPr>
        <w:t>opioidów</w:t>
      </w:r>
      <w:proofErr w:type="spellEnd"/>
      <w:r w:rsidR="0030084F" w:rsidRPr="00BE28C4">
        <w:rPr>
          <w:szCs w:val="22"/>
        </w:rPr>
        <w:t xml:space="preserve">, przed rozpoczęciem leczenia </w:t>
      </w:r>
      <w:r>
        <w:rPr>
          <w:szCs w:val="22"/>
        </w:rPr>
        <w:t xml:space="preserve">skojarzeniem </w:t>
      </w:r>
      <w:proofErr w:type="spellStart"/>
      <w:r w:rsidR="0030084F" w:rsidRPr="00BE28C4">
        <w:rPr>
          <w:szCs w:val="22"/>
        </w:rPr>
        <w:t>naltrekson</w:t>
      </w:r>
      <w:proofErr w:type="spellEnd"/>
      <w:r>
        <w:rPr>
          <w:szCs w:val="22"/>
        </w:rPr>
        <w:t xml:space="preserve"> + </w:t>
      </w:r>
      <w:proofErr w:type="spellStart"/>
      <w:r w:rsidR="0030084F" w:rsidRPr="00BE28C4">
        <w:rPr>
          <w:szCs w:val="22"/>
        </w:rPr>
        <w:t>bupropion</w:t>
      </w:r>
      <w:proofErr w:type="spellEnd"/>
      <w:r w:rsidR="0030084F" w:rsidRPr="00BE28C4">
        <w:rPr>
          <w:szCs w:val="22"/>
        </w:rPr>
        <w:t xml:space="preserve"> można wykonać test w celu </w:t>
      </w:r>
      <w:proofErr w:type="gramStart"/>
      <w:r w:rsidR="0030084F" w:rsidRPr="00BE28C4">
        <w:rPr>
          <w:szCs w:val="22"/>
        </w:rPr>
        <w:t>sprawdzenia,</w:t>
      </w:r>
      <w:proofErr w:type="gramEnd"/>
      <w:r w:rsidR="0030084F" w:rsidRPr="00BE28C4">
        <w:rPr>
          <w:szCs w:val="22"/>
        </w:rPr>
        <w:t xml:space="preserve"> czy leki opioidowe zostały usunięte</w:t>
      </w:r>
      <w:r>
        <w:rPr>
          <w:szCs w:val="22"/>
        </w:rPr>
        <w:t xml:space="preserve"> z organizmu</w:t>
      </w:r>
      <w:r w:rsidR="0030084F" w:rsidRPr="00BE28C4">
        <w:rPr>
          <w:szCs w:val="22"/>
        </w:rPr>
        <w:t xml:space="preserve">. Jeśli po rozpoczęciu leczenia konieczne jest leczenie </w:t>
      </w:r>
      <w:proofErr w:type="spellStart"/>
      <w:r w:rsidR="0030084F" w:rsidRPr="00BE28C4">
        <w:rPr>
          <w:szCs w:val="22"/>
        </w:rPr>
        <w:t>opioidami</w:t>
      </w:r>
      <w:proofErr w:type="spellEnd"/>
      <w:r w:rsidR="0030084F" w:rsidRPr="00BE28C4">
        <w:rPr>
          <w:szCs w:val="22"/>
        </w:rPr>
        <w:t xml:space="preserve">, skojarzenie </w:t>
      </w:r>
      <w:proofErr w:type="spellStart"/>
      <w:r w:rsidR="0030084F" w:rsidRPr="00BE28C4">
        <w:rPr>
          <w:szCs w:val="22"/>
        </w:rPr>
        <w:t>naltrekson</w:t>
      </w:r>
      <w:proofErr w:type="spellEnd"/>
      <w:r w:rsidR="0030084F" w:rsidRPr="00BE28C4">
        <w:rPr>
          <w:szCs w:val="22"/>
        </w:rPr>
        <w:t xml:space="preserve"> + </w:t>
      </w:r>
      <w:proofErr w:type="spellStart"/>
      <w:r w:rsidR="0030084F" w:rsidRPr="00BE28C4">
        <w:rPr>
          <w:szCs w:val="22"/>
        </w:rPr>
        <w:t>bupropion</w:t>
      </w:r>
      <w:proofErr w:type="spellEnd"/>
      <w:r w:rsidR="0005159E" w:rsidRPr="00BE28C4">
        <w:rPr>
          <w:szCs w:val="22"/>
        </w:rPr>
        <w:t xml:space="preserve"> należy odstawić</w:t>
      </w:r>
      <w:r w:rsidR="0030084F" w:rsidRPr="00BE28C4">
        <w:rPr>
          <w:szCs w:val="22"/>
        </w:rPr>
        <w:t xml:space="preserve">. Poważne reakcje zagrażające życiu, takie jak </w:t>
      </w:r>
      <w:r w:rsidR="0005159E" w:rsidRPr="00BE28C4">
        <w:rPr>
          <w:szCs w:val="22"/>
        </w:rPr>
        <w:lastRenderedPageBreak/>
        <w:t>napady drgawkowe</w:t>
      </w:r>
      <w:r w:rsidR="0030084F" w:rsidRPr="00BE28C4">
        <w:rPr>
          <w:szCs w:val="22"/>
        </w:rPr>
        <w:t xml:space="preserve"> i zespół serotoninowy, obserwowano po jednoczesnym podaniu skojarzenia </w:t>
      </w:r>
      <w:proofErr w:type="spellStart"/>
      <w:r w:rsidR="0030084F" w:rsidRPr="00BE28C4">
        <w:rPr>
          <w:szCs w:val="22"/>
        </w:rPr>
        <w:t>naltrekson</w:t>
      </w:r>
      <w:proofErr w:type="spellEnd"/>
      <w:r w:rsidR="0030084F" w:rsidRPr="00BE28C4">
        <w:rPr>
          <w:szCs w:val="22"/>
        </w:rPr>
        <w:t xml:space="preserve"> + </w:t>
      </w:r>
      <w:proofErr w:type="spellStart"/>
      <w:r w:rsidR="0030084F" w:rsidRPr="00BE28C4">
        <w:rPr>
          <w:szCs w:val="22"/>
        </w:rPr>
        <w:t>bupropion</w:t>
      </w:r>
      <w:proofErr w:type="spellEnd"/>
      <w:r w:rsidR="0030084F" w:rsidRPr="00BE28C4">
        <w:rPr>
          <w:szCs w:val="22"/>
        </w:rPr>
        <w:t xml:space="preserve"> i </w:t>
      </w:r>
      <w:proofErr w:type="spellStart"/>
      <w:r w:rsidR="0030084F" w:rsidRPr="00BE28C4">
        <w:rPr>
          <w:szCs w:val="22"/>
        </w:rPr>
        <w:t>opioidów</w:t>
      </w:r>
      <w:proofErr w:type="spellEnd"/>
      <w:r w:rsidR="0030084F" w:rsidRPr="00BE28C4">
        <w:rPr>
          <w:szCs w:val="22"/>
        </w:rPr>
        <w:t xml:space="preserve">. Zgłaszano niewystarczającą analgezję opioidową </w:t>
      </w:r>
    </w:p>
    <w:p w14:paraId="5B4EB97D" w14:textId="47CA9A92" w:rsidR="0030084F" w:rsidRPr="00BE28C4" w:rsidRDefault="0030084F" w:rsidP="0030084F">
      <w:pPr>
        <w:spacing w:line="240" w:lineRule="auto"/>
        <w:rPr>
          <w:szCs w:val="22"/>
        </w:rPr>
      </w:pPr>
      <w:r w:rsidRPr="00BE28C4">
        <w:rPr>
          <w:szCs w:val="22"/>
        </w:rPr>
        <w:t xml:space="preserve">śród-/pooperacyjną podczas leczenia </w:t>
      </w:r>
      <w:r w:rsidR="00F4149A">
        <w:rPr>
          <w:szCs w:val="22"/>
        </w:rPr>
        <w:t xml:space="preserve">skojarzeniem </w:t>
      </w:r>
      <w:proofErr w:type="spellStart"/>
      <w:r w:rsidRPr="00BE28C4">
        <w:rPr>
          <w:szCs w:val="22"/>
        </w:rPr>
        <w:t>naltrekson</w:t>
      </w:r>
      <w:proofErr w:type="spellEnd"/>
      <w:r w:rsidR="00F4149A">
        <w:rPr>
          <w:szCs w:val="22"/>
        </w:rPr>
        <w:t xml:space="preserve"> + </w:t>
      </w:r>
      <w:proofErr w:type="spellStart"/>
      <w:r w:rsidRPr="00BE28C4">
        <w:rPr>
          <w:szCs w:val="22"/>
        </w:rPr>
        <w:t>bupropion</w:t>
      </w:r>
      <w:proofErr w:type="spellEnd"/>
      <w:r w:rsidR="00F4149A">
        <w:rPr>
          <w:szCs w:val="22"/>
        </w:rPr>
        <w:t>.</w:t>
      </w:r>
    </w:p>
    <w:p w14:paraId="39787FD6" w14:textId="77777777" w:rsidR="0030084F" w:rsidRPr="00BE28C4" w:rsidRDefault="0030084F">
      <w:pPr>
        <w:spacing w:line="240" w:lineRule="auto"/>
        <w:rPr>
          <w:szCs w:val="22"/>
        </w:rPr>
      </w:pPr>
    </w:p>
    <w:p w14:paraId="3B51801A" w14:textId="00A54BB8" w:rsidR="004E3AC5" w:rsidRPr="00BE28C4" w:rsidRDefault="00907ADD">
      <w:pPr>
        <w:spacing w:line="240" w:lineRule="auto"/>
        <w:rPr>
          <w:szCs w:val="22"/>
        </w:rPr>
      </w:pPr>
      <w:r w:rsidRPr="00BE28C4">
        <w:rPr>
          <w:szCs w:val="22"/>
        </w:rPr>
        <w:t xml:space="preserve">U pacjentów wymagających okresowego leczenia </w:t>
      </w:r>
      <w:proofErr w:type="spellStart"/>
      <w:r w:rsidRPr="00BE28C4">
        <w:rPr>
          <w:szCs w:val="22"/>
        </w:rPr>
        <w:t>opioidami</w:t>
      </w:r>
      <w:proofErr w:type="spellEnd"/>
      <w:r w:rsidRPr="00BE28C4">
        <w:rPr>
          <w:szCs w:val="22"/>
        </w:rPr>
        <w:t xml:space="preserve"> </w:t>
      </w:r>
      <w:r w:rsidR="0030084F" w:rsidRPr="00BE28C4">
        <w:rPr>
          <w:szCs w:val="22"/>
        </w:rPr>
        <w:t xml:space="preserve">(np. z powodu zabiegu chirurgicznego) </w:t>
      </w:r>
      <w:r w:rsidRPr="00BE28C4">
        <w:rPr>
          <w:szCs w:val="22"/>
        </w:rPr>
        <w:t xml:space="preserve">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0030084F" w:rsidRPr="00BE28C4">
        <w:rPr>
          <w:szCs w:val="22"/>
        </w:rPr>
        <w:t xml:space="preserve"> </w:t>
      </w:r>
      <w:r w:rsidRPr="00BE28C4">
        <w:rPr>
          <w:szCs w:val="22"/>
        </w:rPr>
        <w:t>należy odstawić</w:t>
      </w:r>
      <w:r w:rsidR="0030084F" w:rsidRPr="00BE28C4">
        <w:rPr>
          <w:szCs w:val="22"/>
        </w:rPr>
        <w:t xml:space="preserve"> przynajmniej 3 dni wcześniej</w:t>
      </w:r>
      <w:r w:rsidRPr="00BE28C4">
        <w:rPr>
          <w:szCs w:val="22"/>
        </w:rPr>
        <w:t xml:space="preserve">, a dawki podawanego </w:t>
      </w:r>
      <w:proofErr w:type="spellStart"/>
      <w:r w:rsidRPr="00BE28C4">
        <w:rPr>
          <w:szCs w:val="22"/>
        </w:rPr>
        <w:t>opioidu</w:t>
      </w:r>
      <w:proofErr w:type="spellEnd"/>
      <w:r w:rsidRPr="00BE28C4">
        <w:rPr>
          <w:szCs w:val="22"/>
        </w:rPr>
        <w:t xml:space="preserve"> nie należy zwiększać powyżej poziomu dawki standardowej. W badaniach klinicznych dotyczących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niedozwolone było przyjmowanie opioidowych ani </w:t>
      </w:r>
      <w:proofErr w:type="spellStart"/>
      <w:r w:rsidRPr="00BE28C4">
        <w:rPr>
          <w:szCs w:val="22"/>
        </w:rPr>
        <w:t>opioidopodobnych</w:t>
      </w:r>
      <w:proofErr w:type="spellEnd"/>
      <w:r w:rsidRPr="00BE28C4">
        <w:rPr>
          <w:szCs w:val="22"/>
        </w:rPr>
        <w:t xml:space="preserve"> produktów leczniczych, w tym przeciwbólowych i przeciwkaszlowych. Pomimo tego, około 12% pacjentów uczestniczących w badaniach klinicznych dotyczących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przyjmowało opioidowy lub </w:t>
      </w:r>
      <w:proofErr w:type="spellStart"/>
      <w:r w:rsidRPr="00BE28C4">
        <w:rPr>
          <w:szCs w:val="22"/>
        </w:rPr>
        <w:t>opioidopodobny</w:t>
      </w:r>
      <w:proofErr w:type="spellEnd"/>
      <w:r w:rsidRPr="00BE28C4">
        <w:rPr>
          <w:szCs w:val="22"/>
        </w:rPr>
        <w:t xml:space="preserve"> produkt leczniczy, przy czym większość z nich kontynuowała leczenie stosowane w badaniu bez przerywania przyjmowania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bez niepożądanych konsekwencji.</w:t>
      </w:r>
    </w:p>
    <w:p w14:paraId="40AC4AAC" w14:textId="77777777" w:rsidR="004E3AC5" w:rsidRPr="00BE28C4" w:rsidRDefault="004E3AC5">
      <w:pPr>
        <w:spacing w:line="240" w:lineRule="auto"/>
        <w:rPr>
          <w:szCs w:val="22"/>
        </w:rPr>
      </w:pPr>
    </w:p>
    <w:p w14:paraId="2CB99189" w14:textId="77777777" w:rsidR="004E3AC5" w:rsidRPr="00BE28C4" w:rsidRDefault="00907ADD">
      <w:pPr>
        <w:spacing w:line="240" w:lineRule="auto"/>
        <w:rPr>
          <w:szCs w:val="22"/>
        </w:rPr>
      </w:pPr>
      <w:r w:rsidRPr="00BE28C4">
        <w:rPr>
          <w:szCs w:val="22"/>
          <w:u w:val="single"/>
        </w:rPr>
        <w:t>Próba przełamania blokady receptorów opioidowych</w:t>
      </w:r>
    </w:p>
    <w:p w14:paraId="66110192" w14:textId="77777777" w:rsidR="004E3AC5" w:rsidRPr="00BE28C4" w:rsidRDefault="00907ADD">
      <w:pPr>
        <w:spacing w:line="240" w:lineRule="auto"/>
        <w:rPr>
          <w:szCs w:val="22"/>
        </w:rPr>
      </w:pPr>
      <w:r w:rsidRPr="00BE28C4">
        <w:rPr>
          <w:szCs w:val="22"/>
        </w:rPr>
        <w:t xml:space="preserve">Próba przełamania blokady receptorów opioidowych wywołanej przez </w:t>
      </w:r>
      <w:proofErr w:type="spellStart"/>
      <w:r w:rsidRPr="00BE28C4">
        <w:rPr>
          <w:szCs w:val="22"/>
        </w:rPr>
        <w:t>naltrekson</w:t>
      </w:r>
      <w:proofErr w:type="spellEnd"/>
      <w:r w:rsidRPr="00BE28C4">
        <w:rPr>
          <w:szCs w:val="22"/>
        </w:rPr>
        <w:t xml:space="preserve"> poprzez podanie dużych ilości </w:t>
      </w:r>
      <w:proofErr w:type="spellStart"/>
      <w:r w:rsidRPr="00BE28C4">
        <w:rPr>
          <w:szCs w:val="22"/>
        </w:rPr>
        <w:t>opioidów</w:t>
      </w:r>
      <w:proofErr w:type="spellEnd"/>
      <w:r w:rsidRPr="00BE28C4">
        <w:rPr>
          <w:szCs w:val="22"/>
        </w:rPr>
        <w:t xml:space="preserve"> egzogennych jest bardzo niebezpieczna i może prowadzić do śmiertelnego przedawkowania </w:t>
      </w:r>
      <w:proofErr w:type="spellStart"/>
      <w:r w:rsidRPr="00BE28C4">
        <w:rPr>
          <w:szCs w:val="22"/>
        </w:rPr>
        <w:t>opioidów</w:t>
      </w:r>
      <w:proofErr w:type="spellEnd"/>
      <w:r w:rsidRPr="00BE28C4">
        <w:rPr>
          <w:szCs w:val="22"/>
        </w:rPr>
        <w:t xml:space="preserve"> lub zagrażającego życiu zatrucia </w:t>
      </w:r>
      <w:proofErr w:type="spellStart"/>
      <w:r w:rsidRPr="00BE28C4">
        <w:rPr>
          <w:szCs w:val="22"/>
        </w:rPr>
        <w:t>opioidami</w:t>
      </w:r>
      <w:proofErr w:type="spellEnd"/>
      <w:r w:rsidRPr="00BE28C4">
        <w:rPr>
          <w:szCs w:val="22"/>
        </w:rPr>
        <w:t xml:space="preserve"> (np. zatrzymanie oddechu, zapaść krążeniowa). Pacjenci powinni mieć świadomość tego, że po zakończeniu stosowania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mogą być bardziej wrażliwi na mniejsze dawki </w:t>
      </w:r>
      <w:proofErr w:type="spellStart"/>
      <w:r w:rsidRPr="00BE28C4">
        <w:rPr>
          <w:szCs w:val="22"/>
        </w:rPr>
        <w:t>opioidów</w:t>
      </w:r>
      <w:proofErr w:type="spellEnd"/>
      <w:r w:rsidRPr="00BE28C4">
        <w:rPr>
          <w:szCs w:val="22"/>
        </w:rPr>
        <w:t xml:space="preserve">. </w:t>
      </w:r>
    </w:p>
    <w:p w14:paraId="35761ED9" w14:textId="77777777" w:rsidR="004E3AC5" w:rsidRPr="00BE28C4" w:rsidRDefault="004E3AC5">
      <w:pPr>
        <w:spacing w:line="240" w:lineRule="auto"/>
        <w:rPr>
          <w:b/>
          <w:szCs w:val="22"/>
        </w:rPr>
      </w:pPr>
    </w:p>
    <w:p w14:paraId="0F8A3863" w14:textId="77777777" w:rsidR="004E3AC5" w:rsidRPr="00BE28C4" w:rsidRDefault="00907ADD">
      <w:pPr>
        <w:spacing w:line="240" w:lineRule="auto"/>
        <w:rPr>
          <w:szCs w:val="22"/>
          <w:u w:val="single"/>
        </w:rPr>
      </w:pPr>
      <w:r w:rsidRPr="00BE28C4">
        <w:rPr>
          <w:szCs w:val="22"/>
          <w:u w:val="single"/>
        </w:rPr>
        <w:t>Reakcje alergiczne</w:t>
      </w:r>
    </w:p>
    <w:p w14:paraId="44A1E15E" w14:textId="779791C1" w:rsidR="004E3AC5" w:rsidRPr="00BE28C4" w:rsidRDefault="00907ADD">
      <w:pPr>
        <w:spacing w:line="240" w:lineRule="auto"/>
        <w:rPr>
          <w:szCs w:val="22"/>
        </w:rPr>
      </w:pPr>
      <w:r w:rsidRPr="00BE28C4">
        <w:rPr>
          <w:szCs w:val="22"/>
        </w:rPr>
        <w:t xml:space="preserve">W badaniach klinicznych dotyczących </w:t>
      </w:r>
      <w:proofErr w:type="spellStart"/>
      <w:r w:rsidRPr="00BE28C4">
        <w:rPr>
          <w:szCs w:val="22"/>
        </w:rPr>
        <w:t>bupropionu</w:t>
      </w:r>
      <w:proofErr w:type="spellEnd"/>
      <w:r w:rsidRPr="00BE28C4">
        <w:rPr>
          <w:szCs w:val="22"/>
        </w:rPr>
        <w:t xml:space="preserve"> opisywano przypadki reakcji anafilaktycznych/</w:t>
      </w:r>
      <w:proofErr w:type="spellStart"/>
      <w:r w:rsidRPr="00BE28C4">
        <w:rPr>
          <w:szCs w:val="22"/>
        </w:rPr>
        <w:t>rzekomonafilaktycznych</w:t>
      </w:r>
      <w:proofErr w:type="spellEnd"/>
      <w:r w:rsidRPr="00BE28C4">
        <w:rPr>
          <w:szCs w:val="22"/>
        </w:rPr>
        <w:t xml:space="preserve"> cechujących się takimi objawami, jak świąd, pokrzywka, obrzęk naczynioruchowy i duszność, które wymagały pomocy lekarskiej. Ponadto, po wprowadzeniu produktu do obrotu odnotowano rzadkie zgłoszenia spontaniczne o przypadkach rumienia wielopostaciowego i wstrząsu anafilaktycznego związanych ze stosowaniem </w:t>
      </w:r>
      <w:proofErr w:type="spellStart"/>
      <w:r w:rsidRPr="00BE28C4">
        <w:rPr>
          <w:szCs w:val="22"/>
        </w:rPr>
        <w:t>bupropionu</w:t>
      </w:r>
      <w:proofErr w:type="spellEnd"/>
      <w:r w:rsidRPr="00BE28C4">
        <w:rPr>
          <w:szCs w:val="22"/>
        </w:rPr>
        <w:t xml:space="preserve">. W przypadku wystąpienia objawów reakcji alergicznej, </w:t>
      </w:r>
      <w:proofErr w:type="spellStart"/>
      <w:r w:rsidRPr="00BE28C4">
        <w:rPr>
          <w:szCs w:val="22"/>
        </w:rPr>
        <w:t>rzekomoanafilaktycznej</w:t>
      </w:r>
      <w:proofErr w:type="spellEnd"/>
      <w:r w:rsidRPr="00BE28C4">
        <w:rPr>
          <w:szCs w:val="22"/>
        </w:rPr>
        <w:t xml:space="preserve"> lub anafilaktycznej (np. wysypki skórnej, świądu, pokrzywki, bólu w klatce piersiowej, obrzęku i duszności) podczas stosowania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należy przerwać jego przyjmowanie i skonsultować się z lekarzem.</w:t>
      </w:r>
    </w:p>
    <w:p w14:paraId="114F9DDB" w14:textId="77777777" w:rsidR="004E3AC5" w:rsidRPr="00BE28C4" w:rsidRDefault="004E3AC5">
      <w:pPr>
        <w:spacing w:line="240" w:lineRule="auto"/>
        <w:rPr>
          <w:szCs w:val="22"/>
        </w:rPr>
      </w:pPr>
    </w:p>
    <w:p w14:paraId="366791B5" w14:textId="77777777" w:rsidR="004E3AC5" w:rsidRPr="00BE28C4" w:rsidRDefault="00907ADD">
      <w:pPr>
        <w:spacing w:line="240" w:lineRule="auto"/>
        <w:rPr>
          <w:szCs w:val="22"/>
        </w:rPr>
      </w:pPr>
      <w:r w:rsidRPr="00BE28C4">
        <w:rPr>
          <w:szCs w:val="22"/>
        </w:rPr>
        <w:t xml:space="preserve">Opisywano przypadki bólów stawowych, bólów mięśniowych z wysypką i innymi objawami wskazującymi na nadwrażliwość typu opóźnionego w związku ze stosowaniem </w:t>
      </w:r>
      <w:proofErr w:type="spellStart"/>
      <w:r w:rsidRPr="00BE28C4">
        <w:rPr>
          <w:szCs w:val="22"/>
        </w:rPr>
        <w:t>bupropionu</w:t>
      </w:r>
      <w:proofErr w:type="spellEnd"/>
      <w:r w:rsidRPr="00BE28C4">
        <w:rPr>
          <w:szCs w:val="22"/>
        </w:rPr>
        <w:t xml:space="preserve">. Objawy te mogą przypominać chorobę posurowiczą. Pacjenta należy poinformować o tym, że w przypadku wystąpienia powyższych objawów powinien on powiadomić lekarza, który przepisał mu omawiany produkt leczniczy. W przypadku podejrzenia choroby posurowiczej,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należy odstawić.</w:t>
      </w:r>
    </w:p>
    <w:p w14:paraId="3E4D9A9B" w14:textId="77777777" w:rsidR="004E3AC5" w:rsidRPr="00BE28C4" w:rsidRDefault="004E3AC5">
      <w:pPr>
        <w:spacing w:line="240" w:lineRule="auto"/>
        <w:rPr>
          <w:szCs w:val="22"/>
        </w:rPr>
      </w:pPr>
    </w:p>
    <w:p w14:paraId="4230FB95" w14:textId="2B390351" w:rsidR="004E3AC5" w:rsidRPr="00B17649" w:rsidRDefault="00907ADD">
      <w:pPr>
        <w:spacing w:line="240" w:lineRule="auto"/>
        <w:rPr>
          <w:szCs w:val="22"/>
          <w:lang w:val="en-US"/>
        </w:rPr>
      </w:pPr>
      <w:proofErr w:type="spellStart"/>
      <w:r w:rsidRPr="00B17649">
        <w:rPr>
          <w:szCs w:val="22"/>
          <w:lang w:val="en-US"/>
        </w:rPr>
        <w:t>Ciężkie</w:t>
      </w:r>
      <w:proofErr w:type="spellEnd"/>
      <w:r w:rsidRPr="00B17649">
        <w:rPr>
          <w:szCs w:val="22"/>
          <w:lang w:val="en-US"/>
        </w:rPr>
        <w:t xml:space="preserve"> </w:t>
      </w:r>
      <w:proofErr w:type="spellStart"/>
      <w:r w:rsidRPr="00B17649">
        <w:rPr>
          <w:szCs w:val="22"/>
          <w:lang w:val="en-US"/>
        </w:rPr>
        <w:t>skórne</w:t>
      </w:r>
      <w:proofErr w:type="spellEnd"/>
      <w:r w:rsidRPr="00B17649">
        <w:rPr>
          <w:szCs w:val="22"/>
          <w:lang w:val="en-US"/>
        </w:rPr>
        <w:t xml:space="preserve"> </w:t>
      </w:r>
      <w:proofErr w:type="spellStart"/>
      <w:r w:rsidRPr="00B17649">
        <w:rPr>
          <w:szCs w:val="22"/>
          <w:lang w:val="en-US"/>
        </w:rPr>
        <w:t>działania</w:t>
      </w:r>
      <w:proofErr w:type="spellEnd"/>
      <w:r w:rsidRPr="00B17649">
        <w:rPr>
          <w:szCs w:val="22"/>
          <w:lang w:val="en-US"/>
        </w:rPr>
        <w:t xml:space="preserve"> </w:t>
      </w:r>
      <w:proofErr w:type="spellStart"/>
      <w:r w:rsidRPr="00B17649">
        <w:rPr>
          <w:szCs w:val="22"/>
          <w:lang w:val="en-US"/>
        </w:rPr>
        <w:t>niepożądane</w:t>
      </w:r>
      <w:proofErr w:type="spellEnd"/>
      <w:r w:rsidRPr="00B17649">
        <w:rPr>
          <w:szCs w:val="22"/>
          <w:lang w:val="en-US"/>
        </w:rPr>
        <w:t> (</w:t>
      </w:r>
      <w:r w:rsidR="009C3B65" w:rsidRPr="00B17649">
        <w:rPr>
          <w:szCs w:val="22"/>
          <w:lang w:val="en-US"/>
        </w:rPr>
        <w:t xml:space="preserve">ang. </w:t>
      </w:r>
      <w:r w:rsidRPr="00B17649">
        <w:rPr>
          <w:iCs/>
          <w:szCs w:val="22"/>
          <w:lang w:val="en-US"/>
        </w:rPr>
        <w:t>severe cutaneous adverse reactions</w:t>
      </w:r>
      <w:r w:rsidRPr="00B17649">
        <w:rPr>
          <w:i/>
          <w:iCs/>
          <w:szCs w:val="22"/>
          <w:lang w:val="en-US"/>
        </w:rPr>
        <w:t xml:space="preserve">, </w:t>
      </w:r>
      <w:r w:rsidRPr="00B17649">
        <w:rPr>
          <w:szCs w:val="22"/>
          <w:lang w:val="en-US"/>
        </w:rPr>
        <w:t>SCAR)</w:t>
      </w:r>
    </w:p>
    <w:p w14:paraId="6C3063B6" w14:textId="77777777" w:rsidR="004E3AC5" w:rsidRPr="00B17649" w:rsidRDefault="004E3AC5">
      <w:pPr>
        <w:spacing w:line="240" w:lineRule="auto"/>
        <w:rPr>
          <w:szCs w:val="22"/>
          <w:lang w:val="en-US"/>
        </w:rPr>
      </w:pPr>
    </w:p>
    <w:p w14:paraId="176E1C21" w14:textId="7A89E7FD" w:rsidR="004E3AC5" w:rsidRPr="00B17649" w:rsidRDefault="00907ADD">
      <w:pPr>
        <w:spacing w:line="240" w:lineRule="auto"/>
        <w:rPr>
          <w:szCs w:val="22"/>
        </w:rPr>
      </w:pPr>
      <w:r w:rsidRPr="00B17649">
        <w:rPr>
          <w:szCs w:val="22"/>
        </w:rPr>
        <w:t xml:space="preserve">Zgłaszano związane z leczeniem skojarzonym </w:t>
      </w:r>
      <w:proofErr w:type="spellStart"/>
      <w:r w:rsidRPr="00B17649">
        <w:rPr>
          <w:szCs w:val="22"/>
        </w:rPr>
        <w:t>naltrekson</w:t>
      </w:r>
      <w:r w:rsidR="009C3B65" w:rsidRPr="00B17649">
        <w:rPr>
          <w:szCs w:val="22"/>
        </w:rPr>
        <w:t>em</w:t>
      </w:r>
      <w:proofErr w:type="spellEnd"/>
      <w:r w:rsidRPr="00B17649">
        <w:rPr>
          <w:szCs w:val="22"/>
        </w:rPr>
        <w:t xml:space="preserve"> + </w:t>
      </w:r>
      <w:proofErr w:type="spellStart"/>
      <w:r w:rsidRPr="00B17649">
        <w:rPr>
          <w:szCs w:val="22"/>
        </w:rPr>
        <w:t>bupropion</w:t>
      </w:r>
      <w:r w:rsidR="009C3B65" w:rsidRPr="00B17649">
        <w:rPr>
          <w:szCs w:val="22"/>
        </w:rPr>
        <w:t>em</w:t>
      </w:r>
      <w:proofErr w:type="spellEnd"/>
      <w:r w:rsidRPr="00B17649">
        <w:rPr>
          <w:szCs w:val="22"/>
        </w:rPr>
        <w:t>, ciężkie skórne działania niepożądane (SCAR), takie jak zespół Stevensa-Johnsona (</w:t>
      </w:r>
      <w:r w:rsidR="009C3B65" w:rsidRPr="00B17649">
        <w:rPr>
          <w:szCs w:val="22"/>
        </w:rPr>
        <w:t xml:space="preserve">ang. </w:t>
      </w:r>
      <w:r w:rsidR="009C3B65" w:rsidRPr="00B17649">
        <w:rPr>
          <w:i/>
          <w:szCs w:val="22"/>
        </w:rPr>
        <w:t xml:space="preserve">Stevens-Johnson </w:t>
      </w:r>
      <w:proofErr w:type="spellStart"/>
      <w:r w:rsidR="009C3B65" w:rsidRPr="00B17649">
        <w:rPr>
          <w:i/>
          <w:szCs w:val="22"/>
        </w:rPr>
        <w:t>syndrome</w:t>
      </w:r>
      <w:proofErr w:type="spellEnd"/>
      <w:r w:rsidR="009C3B65" w:rsidRPr="00E3056C">
        <w:rPr>
          <w:sz w:val="21"/>
        </w:rPr>
        <w:t xml:space="preserve">, </w:t>
      </w:r>
      <w:r w:rsidRPr="00B17649">
        <w:rPr>
          <w:szCs w:val="22"/>
        </w:rPr>
        <w:t>SJS) oraz ostra uogólniona osutka krostkowa (</w:t>
      </w:r>
      <w:r w:rsidR="009C3B65" w:rsidRPr="00B17649">
        <w:rPr>
          <w:szCs w:val="22"/>
        </w:rPr>
        <w:t xml:space="preserve">ang. </w:t>
      </w:r>
      <w:proofErr w:type="spellStart"/>
      <w:r w:rsidR="009C3B65" w:rsidRPr="00B17649">
        <w:rPr>
          <w:i/>
          <w:iCs/>
          <w:szCs w:val="22"/>
        </w:rPr>
        <w:t>acute</w:t>
      </w:r>
      <w:proofErr w:type="spellEnd"/>
      <w:r w:rsidR="009C3B65" w:rsidRPr="00B17649">
        <w:rPr>
          <w:i/>
          <w:iCs/>
          <w:szCs w:val="22"/>
        </w:rPr>
        <w:t xml:space="preserve"> </w:t>
      </w:r>
      <w:proofErr w:type="spellStart"/>
      <w:r w:rsidR="009C3B65" w:rsidRPr="00B17649">
        <w:rPr>
          <w:i/>
          <w:iCs/>
          <w:szCs w:val="22"/>
        </w:rPr>
        <w:t>generalized</w:t>
      </w:r>
      <w:proofErr w:type="spellEnd"/>
      <w:r w:rsidR="009C3B65" w:rsidRPr="00B17649">
        <w:rPr>
          <w:i/>
          <w:iCs/>
          <w:szCs w:val="22"/>
        </w:rPr>
        <w:t xml:space="preserve"> </w:t>
      </w:r>
      <w:proofErr w:type="spellStart"/>
      <w:r w:rsidR="009C3B65" w:rsidRPr="00B17649">
        <w:rPr>
          <w:i/>
          <w:iCs/>
          <w:szCs w:val="22"/>
        </w:rPr>
        <w:t>exanthematous</w:t>
      </w:r>
      <w:proofErr w:type="spellEnd"/>
      <w:r w:rsidR="009C3B65" w:rsidRPr="00B17649">
        <w:rPr>
          <w:i/>
          <w:iCs/>
          <w:szCs w:val="22"/>
        </w:rPr>
        <w:t xml:space="preserve"> </w:t>
      </w:r>
      <w:proofErr w:type="spellStart"/>
      <w:r w:rsidR="009C3B65" w:rsidRPr="00B17649">
        <w:rPr>
          <w:i/>
          <w:iCs/>
          <w:szCs w:val="22"/>
        </w:rPr>
        <w:t>pustulosis</w:t>
      </w:r>
      <w:proofErr w:type="spellEnd"/>
      <w:r w:rsidR="009C3B65" w:rsidRPr="00B17649">
        <w:rPr>
          <w:i/>
          <w:iCs/>
          <w:szCs w:val="22"/>
        </w:rPr>
        <w:t>,</w:t>
      </w:r>
      <w:r w:rsidR="009C3B65" w:rsidRPr="00B17649">
        <w:rPr>
          <w:szCs w:val="22"/>
        </w:rPr>
        <w:t xml:space="preserve"> </w:t>
      </w:r>
      <w:r w:rsidRPr="00B17649">
        <w:rPr>
          <w:szCs w:val="22"/>
        </w:rPr>
        <w:t>AGEP), które mogą zagrażać życiu lub prowadzić do zgonu.</w:t>
      </w:r>
    </w:p>
    <w:p w14:paraId="7639DDC0" w14:textId="3A64E43E" w:rsidR="004E3AC5" w:rsidRPr="00B17649" w:rsidRDefault="00907ADD">
      <w:pPr>
        <w:spacing w:line="240" w:lineRule="auto"/>
        <w:rPr>
          <w:szCs w:val="22"/>
        </w:rPr>
      </w:pPr>
      <w:r w:rsidRPr="00B17649">
        <w:rPr>
          <w:szCs w:val="22"/>
        </w:rPr>
        <w:t>Pacjen</w:t>
      </w:r>
      <w:r w:rsidR="00547680" w:rsidRPr="00B17649">
        <w:rPr>
          <w:szCs w:val="22"/>
        </w:rPr>
        <w:t>tów</w:t>
      </w:r>
      <w:r w:rsidRPr="00B17649">
        <w:rPr>
          <w:szCs w:val="22"/>
        </w:rPr>
        <w:t xml:space="preserve"> </w:t>
      </w:r>
      <w:r w:rsidR="00547680" w:rsidRPr="00B17649">
        <w:rPr>
          <w:szCs w:val="22"/>
        </w:rPr>
        <w:t>należy</w:t>
      </w:r>
      <w:r w:rsidRPr="00B17649">
        <w:rPr>
          <w:szCs w:val="22"/>
        </w:rPr>
        <w:t xml:space="preserve"> poinformowa</w:t>
      </w:r>
      <w:r w:rsidR="00547680" w:rsidRPr="00B17649">
        <w:rPr>
          <w:szCs w:val="22"/>
        </w:rPr>
        <w:t>ć</w:t>
      </w:r>
      <w:r w:rsidRPr="00B17649">
        <w:rPr>
          <w:szCs w:val="22"/>
        </w:rPr>
        <w:t xml:space="preserve"> o objawach przedmiotowych i podmiotowych reakcji skórnych oraz dokładnie monitorowa</w:t>
      </w:r>
      <w:r w:rsidR="00547680" w:rsidRPr="00B17649">
        <w:rPr>
          <w:szCs w:val="22"/>
        </w:rPr>
        <w:t xml:space="preserve">ć </w:t>
      </w:r>
      <w:r w:rsidRPr="00B17649">
        <w:rPr>
          <w:szCs w:val="22"/>
        </w:rPr>
        <w:t xml:space="preserve">pod kątem ich występowania. W razie wystąpienia objawów przedmiotowych i podmiotowych </w:t>
      </w:r>
      <w:r w:rsidR="006809DE">
        <w:rPr>
          <w:szCs w:val="22"/>
        </w:rPr>
        <w:t>wskazujących na</w:t>
      </w:r>
      <w:r w:rsidR="006809DE" w:rsidRPr="00B17649">
        <w:rPr>
          <w:szCs w:val="22"/>
        </w:rPr>
        <w:t xml:space="preserve"> </w:t>
      </w:r>
      <w:r w:rsidRPr="00B17649">
        <w:rPr>
          <w:szCs w:val="22"/>
        </w:rPr>
        <w:t xml:space="preserve">występowanie tych reakcji, należy natychmiast odstawić leczenie skojarzone </w:t>
      </w:r>
      <w:proofErr w:type="spellStart"/>
      <w:r w:rsidRPr="00B17649">
        <w:rPr>
          <w:szCs w:val="22"/>
        </w:rPr>
        <w:t>naltrekson</w:t>
      </w:r>
      <w:r w:rsidR="00547680" w:rsidRPr="00B17649">
        <w:rPr>
          <w:szCs w:val="22"/>
        </w:rPr>
        <w:t>em</w:t>
      </w:r>
      <w:proofErr w:type="spellEnd"/>
      <w:r w:rsidRPr="00B17649">
        <w:rPr>
          <w:szCs w:val="22"/>
        </w:rPr>
        <w:t xml:space="preserve"> + </w:t>
      </w:r>
      <w:proofErr w:type="spellStart"/>
      <w:r w:rsidRPr="00B17649">
        <w:rPr>
          <w:szCs w:val="22"/>
        </w:rPr>
        <w:t>bupropion</w:t>
      </w:r>
      <w:r w:rsidR="00547680" w:rsidRPr="00B17649">
        <w:rPr>
          <w:szCs w:val="22"/>
        </w:rPr>
        <w:t>em</w:t>
      </w:r>
      <w:proofErr w:type="spellEnd"/>
      <w:r w:rsidRPr="00B17649">
        <w:rPr>
          <w:szCs w:val="22"/>
        </w:rPr>
        <w:t xml:space="preserve"> i rozważyć zastosowanie alternatywnego leczenia (w stosownych przypadkach). Jeśli u pacjenta wystąpi ciężka reakcja, taka jak SJS lub AGEP, podczas stosowania leczenia skojarzonego </w:t>
      </w:r>
      <w:proofErr w:type="spellStart"/>
      <w:r w:rsidRPr="00B17649">
        <w:rPr>
          <w:szCs w:val="22"/>
        </w:rPr>
        <w:t>naltrekson</w:t>
      </w:r>
      <w:r w:rsidR="00547680" w:rsidRPr="00B17649">
        <w:rPr>
          <w:szCs w:val="22"/>
        </w:rPr>
        <w:t>em</w:t>
      </w:r>
      <w:proofErr w:type="spellEnd"/>
      <w:r w:rsidRPr="00B17649">
        <w:rPr>
          <w:szCs w:val="22"/>
        </w:rPr>
        <w:t xml:space="preserve"> + </w:t>
      </w:r>
      <w:proofErr w:type="spellStart"/>
      <w:r w:rsidRPr="00B17649">
        <w:rPr>
          <w:szCs w:val="22"/>
        </w:rPr>
        <w:t>bupropion</w:t>
      </w:r>
      <w:r w:rsidR="00547680" w:rsidRPr="00B17649">
        <w:rPr>
          <w:szCs w:val="22"/>
        </w:rPr>
        <w:t>em</w:t>
      </w:r>
      <w:proofErr w:type="spellEnd"/>
      <w:r w:rsidRPr="00B17649">
        <w:rPr>
          <w:szCs w:val="22"/>
        </w:rPr>
        <w:t xml:space="preserve">, nie </w:t>
      </w:r>
      <w:r w:rsidR="00547680" w:rsidRPr="00B17649">
        <w:rPr>
          <w:szCs w:val="22"/>
        </w:rPr>
        <w:t>wolno</w:t>
      </w:r>
      <w:r w:rsidRPr="00B17649">
        <w:rPr>
          <w:szCs w:val="22"/>
        </w:rPr>
        <w:t xml:space="preserve"> w żadnym czasie ponownie rozpoczynać tego leczenia u pacjenta. </w:t>
      </w:r>
    </w:p>
    <w:p w14:paraId="24FCFEB2" w14:textId="77777777" w:rsidR="004E3AC5" w:rsidRPr="00BE28C4" w:rsidRDefault="004E3AC5">
      <w:pPr>
        <w:spacing w:line="240" w:lineRule="auto"/>
        <w:rPr>
          <w:b/>
          <w:szCs w:val="22"/>
        </w:rPr>
      </w:pPr>
    </w:p>
    <w:p w14:paraId="18C3B487" w14:textId="77777777" w:rsidR="004E3AC5" w:rsidRPr="00BE28C4" w:rsidRDefault="00907ADD">
      <w:pPr>
        <w:spacing w:line="240" w:lineRule="auto"/>
        <w:rPr>
          <w:szCs w:val="22"/>
          <w:u w:val="single"/>
        </w:rPr>
      </w:pPr>
      <w:r w:rsidRPr="00BE28C4">
        <w:rPr>
          <w:szCs w:val="22"/>
          <w:u w:val="single"/>
        </w:rPr>
        <w:t>Wzrost ciśnienia tętniczego</w:t>
      </w:r>
    </w:p>
    <w:p w14:paraId="26F16BEC" w14:textId="77777777" w:rsidR="004E3AC5" w:rsidRPr="00BE28C4" w:rsidRDefault="00907ADD">
      <w:pPr>
        <w:spacing w:line="240" w:lineRule="auto"/>
        <w:rPr>
          <w:szCs w:val="22"/>
        </w:rPr>
      </w:pPr>
      <w:r w:rsidRPr="00BE28C4">
        <w:rPr>
          <w:szCs w:val="22"/>
        </w:rPr>
        <w:t xml:space="preserve">W badaniach klinicznych fazy III dotyczących stosowania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obserwowano wczesne, przemijające średnie wzrosty skurczowego i rozkurczowego ciśnienia tętniczego do średnio 1 mm Hg w stosunku do wartości wyjściowych. W badaniu klinicznym </w:t>
      </w:r>
      <w:r w:rsidRPr="00BE28C4">
        <w:rPr>
          <w:szCs w:val="22"/>
        </w:rPr>
        <w:lastRenderedPageBreak/>
        <w:t xml:space="preserve">oceniającym parametry sercowo-naczyniowe (CVOT) obejmującym pacjentów ze zwiększonym ryzykiem wystąpienia zdarzenia sercowo-naczyniowego zaobserwowano średni wzrost skurczowego i rozkurczowego ciśnienia tętniczego do około 1 mmHg w stosunku do wartości początkowych, w porównaniu do grupy leczonej placebo. W praktyce klinicznej, podczas stosowania innych produktów leczniczych zawierających </w:t>
      </w:r>
      <w:proofErr w:type="spellStart"/>
      <w:r w:rsidRPr="00BE28C4">
        <w:rPr>
          <w:szCs w:val="22"/>
        </w:rPr>
        <w:t>bupropion</w:t>
      </w:r>
      <w:proofErr w:type="spellEnd"/>
      <w:r w:rsidRPr="00BE28C4">
        <w:rPr>
          <w:szCs w:val="22"/>
        </w:rPr>
        <w:t xml:space="preserve"> opisywano przypadki nadciśnienia tętniczego, u części pacjentów ciężkiego i wymagającego natychmiastowego leczenia. Ponadto po wprowadzeniu produktu do obrotu zgłaszano przypadki występowania przełomu nadciśnieniowego w trakcie początkowej fazy dostosowywania dawki w przypadku stosowania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w:t>
      </w:r>
    </w:p>
    <w:p w14:paraId="16C5FE26" w14:textId="77777777" w:rsidR="004E3AC5" w:rsidRPr="00BE28C4" w:rsidRDefault="004E3AC5">
      <w:pPr>
        <w:spacing w:line="240" w:lineRule="auto"/>
        <w:rPr>
          <w:szCs w:val="22"/>
        </w:rPr>
      </w:pPr>
    </w:p>
    <w:p w14:paraId="44B3C13C" w14:textId="77777777" w:rsidR="004E3AC5" w:rsidRPr="00BE28C4" w:rsidRDefault="00907ADD">
      <w:pPr>
        <w:spacing w:line="240" w:lineRule="auto"/>
        <w:rPr>
          <w:szCs w:val="22"/>
        </w:rPr>
      </w:pPr>
      <w:r w:rsidRPr="00BE28C4">
        <w:rPr>
          <w:szCs w:val="22"/>
        </w:rPr>
        <w:t xml:space="preserve">Przed rozpoczęciem stosowania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należy wykonać pomiar ciśnienia tętniczego i tętna, który w trakcie stosowania tego produktu leczniczego należy regularnie powtarzać w odstępach czasu ogólnie przyjętych w praktyce klinicznej. W przypadku wystąpienia klinicznie istotnego i nieustępującego wzrostu ciśnienia tętniczego lub częstości tętna wskutek stosowania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produkt ten należy odstawić.</w:t>
      </w:r>
    </w:p>
    <w:p w14:paraId="3F08F4F0" w14:textId="77777777" w:rsidR="004E3AC5" w:rsidRPr="00BE28C4" w:rsidRDefault="004E3AC5">
      <w:pPr>
        <w:spacing w:line="240" w:lineRule="auto"/>
        <w:rPr>
          <w:szCs w:val="22"/>
        </w:rPr>
      </w:pPr>
    </w:p>
    <w:p w14:paraId="55A9625E" w14:textId="77777777" w:rsidR="004E3AC5" w:rsidRPr="00BE28C4" w:rsidRDefault="00907ADD">
      <w:pPr>
        <w:spacing w:line="240" w:lineRule="auto"/>
        <w:rPr>
          <w:szCs w:val="22"/>
        </w:rPr>
      </w:pPr>
      <w:r w:rsidRPr="00BE28C4">
        <w:rPr>
          <w:szCs w:val="22"/>
        </w:rPr>
        <w:t xml:space="preserve">U pacjentów z wyrównanym nadciśnieniem tętniczym,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należy stosować z zachowaniem ostrożności, natomiast u pacjentów z niewyrównanym nadciśnieniem tętniczym stosowanie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jest przeciwwskazane (patrz punkt 4.3).</w:t>
      </w:r>
    </w:p>
    <w:p w14:paraId="5E2F9F6A" w14:textId="77777777" w:rsidR="004E3AC5" w:rsidRPr="00BE28C4" w:rsidRDefault="004E3AC5">
      <w:pPr>
        <w:spacing w:line="240" w:lineRule="auto"/>
        <w:rPr>
          <w:szCs w:val="22"/>
        </w:rPr>
      </w:pPr>
    </w:p>
    <w:p w14:paraId="64039B98" w14:textId="77777777" w:rsidR="004E3AC5" w:rsidRPr="00BE28C4" w:rsidRDefault="00907ADD">
      <w:pPr>
        <w:spacing w:line="240" w:lineRule="auto"/>
        <w:rPr>
          <w:szCs w:val="22"/>
          <w:u w:val="single"/>
        </w:rPr>
      </w:pPr>
      <w:r w:rsidRPr="00BE28C4">
        <w:rPr>
          <w:szCs w:val="22"/>
          <w:u w:val="single"/>
        </w:rPr>
        <w:t>Choroby układu krążenia</w:t>
      </w:r>
    </w:p>
    <w:p w14:paraId="7974FA3F" w14:textId="77777777" w:rsidR="004E3AC5" w:rsidRPr="00BE28C4" w:rsidRDefault="00907ADD">
      <w:pPr>
        <w:spacing w:line="240" w:lineRule="auto"/>
        <w:rPr>
          <w:szCs w:val="22"/>
        </w:rPr>
      </w:pPr>
      <w:r w:rsidRPr="00BE28C4">
        <w:rPr>
          <w:szCs w:val="22"/>
        </w:rPr>
        <w:t>Brak jest doświadczenia klinicznego, które pozwoliłoby ustalić bezpieczeństwo stosowania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u pacjentów po niedawno przebytym zawale mięśnia sercowego, z niestabilną chorobą serca lub zastoinową niewydolnością serca w III lub IV klasie NYHA. U pacjentów z czynną chorobą wieńcową (np. z aktualnie występującą dławicą piersiową lub po przebytym niedawno zawale mięśnia sercowego) oraz u pacjentów z chorobami naczyniowymi mózgu w wywiadzie,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należy stosować z zachowaniem ostrożności.</w:t>
      </w:r>
    </w:p>
    <w:p w14:paraId="17B12F89" w14:textId="77777777" w:rsidR="004E3AC5" w:rsidRPr="00BE28C4" w:rsidRDefault="004E3AC5">
      <w:pPr>
        <w:spacing w:line="240" w:lineRule="auto"/>
        <w:rPr>
          <w:szCs w:val="22"/>
        </w:rPr>
      </w:pPr>
    </w:p>
    <w:p w14:paraId="03795CEF" w14:textId="77777777" w:rsidR="004E3AC5" w:rsidRPr="00BE28C4" w:rsidRDefault="00907ADD">
      <w:pPr>
        <w:spacing w:line="240" w:lineRule="auto"/>
        <w:rPr>
          <w:u w:val="single"/>
        </w:rPr>
      </w:pPr>
      <w:r w:rsidRPr="00BE28C4">
        <w:rPr>
          <w:u w:val="single"/>
        </w:rPr>
        <w:t xml:space="preserve">Zespół </w:t>
      </w:r>
      <w:proofErr w:type="spellStart"/>
      <w:r w:rsidRPr="00BE28C4">
        <w:rPr>
          <w:u w:val="single"/>
        </w:rPr>
        <w:t>Brugadów</w:t>
      </w:r>
      <w:proofErr w:type="spellEnd"/>
    </w:p>
    <w:p w14:paraId="61EEFF35" w14:textId="77777777" w:rsidR="004E3AC5" w:rsidRPr="00BE28C4" w:rsidRDefault="00907ADD">
      <w:pPr>
        <w:spacing w:line="240" w:lineRule="auto"/>
        <w:rPr>
          <w:szCs w:val="22"/>
        </w:rPr>
      </w:pPr>
      <w:proofErr w:type="spellStart"/>
      <w:r w:rsidRPr="00BE28C4">
        <w:t>Bupropion</w:t>
      </w:r>
      <w:proofErr w:type="spellEnd"/>
      <w:r w:rsidRPr="00BE28C4">
        <w:t xml:space="preserve"> może spowodować ujawnienie zespołu </w:t>
      </w:r>
      <w:proofErr w:type="spellStart"/>
      <w:r w:rsidRPr="00BE28C4">
        <w:t>Brugadów</w:t>
      </w:r>
      <w:proofErr w:type="spellEnd"/>
      <w:r w:rsidRPr="00BE28C4">
        <w:t xml:space="preserve">, rzadkiej, uwarunkowanej genetycznie choroby dotyczącej kanałów sodowych serca z charakterystycznymi zmianami w zapisie EKG (blok prawej odnogi pęczka </w:t>
      </w:r>
      <w:proofErr w:type="spellStart"/>
      <w:r w:rsidRPr="00BE28C4">
        <w:t>Hisa</w:t>
      </w:r>
      <w:proofErr w:type="spellEnd"/>
      <w:r w:rsidRPr="00BE28C4">
        <w:t xml:space="preserve"> oraz uniesienie odcinka ST w odprowadzeniu prawym </w:t>
      </w:r>
      <w:proofErr w:type="spellStart"/>
      <w:r w:rsidRPr="00BE28C4">
        <w:t>przedkomorowym</w:t>
      </w:r>
      <w:proofErr w:type="spellEnd"/>
      <w:r w:rsidRPr="00BE28C4">
        <w:t xml:space="preserve">), mogącego prowadzić do zatrzymania akcji serca lub do nagłej śmierci. Należy zachować ostrożność u pacjentów z zespołem </w:t>
      </w:r>
      <w:proofErr w:type="spellStart"/>
      <w:r w:rsidRPr="00BE28C4">
        <w:t>Brugadów</w:t>
      </w:r>
      <w:proofErr w:type="spellEnd"/>
      <w:r w:rsidRPr="00BE28C4">
        <w:t xml:space="preserve"> lub z zatrzymaniem akcji serca lub przypadkiem nagłej śmierci w wywiadzie rodzinnym.</w:t>
      </w:r>
    </w:p>
    <w:p w14:paraId="28C191E9" w14:textId="77777777" w:rsidR="004E3AC5" w:rsidRPr="00BE28C4" w:rsidRDefault="004E3AC5">
      <w:pPr>
        <w:spacing w:line="240" w:lineRule="auto"/>
        <w:rPr>
          <w:szCs w:val="22"/>
        </w:rPr>
      </w:pPr>
    </w:p>
    <w:p w14:paraId="25076293" w14:textId="77777777" w:rsidR="004E3AC5" w:rsidRPr="00BE28C4" w:rsidRDefault="00907ADD">
      <w:pPr>
        <w:spacing w:line="240" w:lineRule="auto"/>
        <w:rPr>
          <w:szCs w:val="22"/>
          <w:u w:val="single"/>
        </w:rPr>
      </w:pPr>
      <w:proofErr w:type="spellStart"/>
      <w:r w:rsidRPr="00BE28C4">
        <w:rPr>
          <w:szCs w:val="22"/>
          <w:u w:val="single"/>
        </w:rPr>
        <w:t>Hepatotoksyczność</w:t>
      </w:r>
      <w:proofErr w:type="spellEnd"/>
    </w:p>
    <w:p w14:paraId="275D6D75" w14:textId="77777777" w:rsidR="004E3AC5" w:rsidRPr="00BE28C4" w:rsidRDefault="00907ADD">
      <w:pPr>
        <w:spacing w:line="240" w:lineRule="auto"/>
        <w:rPr>
          <w:szCs w:val="22"/>
        </w:rPr>
      </w:pPr>
      <w:r w:rsidRPr="00BE28C4">
        <w:rPr>
          <w:szCs w:val="22"/>
        </w:rPr>
        <w:t xml:space="preserve">W zakończonych badaniach klinicznych dotyczących stosowania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 których dawki dobowe </w:t>
      </w:r>
      <w:proofErr w:type="spellStart"/>
      <w:r w:rsidRPr="00BE28C4">
        <w:rPr>
          <w:szCs w:val="22"/>
        </w:rPr>
        <w:t>naltreksonu</w:t>
      </w:r>
      <w:proofErr w:type="spellEnd"/>
      <w:r w:rsidRPr="00BE28C4">
        <w:rPr>
          <w:szCs w:val="22"/>
        </w:rPr>
        <w:t xml:space="preserve"> chlorowodorku wynosiły od 16 mg do 48 mg, </w:t>
      </w:r>
      <w:r w:rsidRPr="00BE28C4">
        <w:t xml:space="preserve">zgłoszono zaburzenia wątroby wywołane przez leki (ang. </w:t>
      </w:r>
      <w:proofErr w:type="spellStart"/>
      <w:r w:rsidRPr="00BE28C4">
        <w:t>drug-induced</w:t>
      </w:r>
      <w:proofErr w:type="spellEnd"/>
      <w:r w:rsidRPr="00BE28C4">
        <w:t xml:space="preserve"> </w:t>
      </w:r>
      <w:proofErr w:type="spellStart"/>
      <w:r w:rsidRPr="00BE28C4">
        <w:t>liver</w:t>
      </w:r>
      <w:proofErr w:type="spellEnd"/>
      <w:r w:rsidRPr="00BE28C4">
        <w:t xml:space="preserve"> </w:t>
      </w:r>
      <w:proofErr w:type="spellStart"/>
      <w:r w:rsidRPr="00BE28C4">
        <w:t>injury</w:t>
      </w:r>
      <w:proofErr w:type="spellEnd"/>
      <w:r w:rsidRPr="00BE28C4">
        <w:t>, DILI). Dodatkowo wystąpiły przypadki wzrostu aktywności enzymów wątrobowych odnotowane w raportach opracowanych po wprowadzeniu produktów do obrotu.</w:t>
      </w:r>
      <w:r w:rsidRPr="00BE28C4">
        <w:rPr>
          <w:szCs w:val="22"/>
        </w:rPr>
        <w:t xml:space="preserve"> Pacjent, u którego </w:t>
      </w:r>
      <w:r w:rsidRPr="00BE28C4">
        <w:t xml:space="preserve">podejrzewa się DILI, </w:t>
      </w:r>
      <w:r w:rsidRPr="00BE28C4">
        <w:rPr>
          <w:szCs w:val="22"/>
        </w:rPr>
        <w:t xml:space="preserve">powinien przerwać przyjmowanie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w:t>
      </w:r>
    </w:p>
    <w:p w14:paraId="463CE2FE" w14:textId="77777777" w:rsidR="004E3AC5" w:rsidRPr="00BE28C4" w:rsidRDefault="004E3AC5">
      <w:pPr>
        <w:spacing w:line="240" w:lineRule="auto"/>
        <w:rPr>
          <w:szCs w:val="22"/>
        </w:rPr>
      </w:pPr>
    </w:p>
    <w:p w14:paraId="28DCFAAC" w14:textId="77777777" w:rsidR="004E3AC5" w:rsidRPr="00BE28C4" w:rsidRDefault="00907ADD">
      <w:pPr>
        <w:spacing w:line="240" w:lineRule="auto"/>
        <w:rPr>
          <w:szCs w:val="22"/>
          <w:u w:val="single"/>
        </w:rPr>
      </w:pPr>
      <w:r w:rsidRPr="00BE28C4">
        <w:rPr>
          <w:szCs w:val="22"/>
          <w:u w:val="single"/>
        </w:rPr>
        <w:t>Pacjenci w podeszłym wieku</w:t>
      </w:r>
    </w:p>
    <w:p w14:paraId="40896E81" w14:textId="77777777" w:rsidR="004E3AC5" w:rsidRPr="00BE28C4" w:rsidRDefault="00907ADD">
      <w:pPr>
        <w:spacing w:line="240" w:lineRule="auto"/>
        <w:rPr>
          <w:szCs w:val="22"/>
        </w:rPr>
      </w:pPr>
      <w:r w:rsidRPr="00BE28C4">
        <w:rPr>
          <w:szCs w:val="22"/>
        </w:rPr>
        <w:t xml:space="preserve">Do badań klinicznych dotyczących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nie włączono dostatecznie dużej liczby pacjentów wieku 65 lat i powyżej, aby można było ustalić, czy reagują oni odmiennie na przyjmowanie tego skojarzenia substancji czynnych niż pacjenci w młodszym wieku. Pacjenci w podeszłym wieku mogą być bardziej podatni na wystąpienie działań niepożądanych </w:t>
      </w:r>
      <w:proofErr w:type="spellStart"/>
      <w:r w:rsidRPr="00BE28C4">
        <w:rPr>
          <w:szCs w:val="22"/>
        </w:rPr>
        <w:t>naltreksonu</w:t>
      </w:r>
      <w:proofErr w:type="spellEnd"/>
      <w:r w:rsidRPr="00BE28C4">
        <w:rPr>
          <w:szCs w:val="22"/>
        </w:rPr>
        <w:t xml:space="preserve"> i </w:t>
      </w:r>
      <w:proofErr w:type="spellStart"/>
      <w:r w:rsidRPr="00BE28C4">
        <w:rPr>
          <w:szCs w:val="22"/>
        </w:rPr>
        <w:t>bupropionu</w:t>
      </w:r>
      <w:proofErr w:type="spellEnd"/>
      <w:r w:rsidRPr="00BE28C4">
        <w:rPr>
          <w:szCs w:val="22"/>
        </w:rPr>
        <w:t xml:space="preserve"> w obrębie ośrodkowego układu nerwowego. Ponieważ </w:t>
      </w:r>
      <w:proofErr w:type="spellStart"/>
      <w:r w:rsidRPr="00BE28C4">
        <w:rPr>
          <w:szCs w:val="22"/>
        </w:rPr>
        <w:t>naltrekson</w:t>
      </w:r>
      <w:proofErr w:type="spellEnd"/>
      <w:r w:rsidRPr="00BE28C4">
        <w:rPr>
          <w:szCs w:val="22"/>
        </w:rPr>
        <w:t xml:space="preserve"> i </w:t>
      </w:r>
      <w:proofErr w:type="spellStart"/>
      <w:r w:rsidRPr="00BE28C4">
        <w:rPr>
          <w:szCs w:val="22"/>
        </w:rPr>
        <w:t>bupropion</w:t>
      </w:r>
      <w:proofErr w:type="spellEnd"/>
      <w:r w:rsidRPr="00BE28C4">
        <w:rPr>
          <w:szCs w:val="22"/>
        </w:rPr>
        <w:t xml:space="preserve"> wydalane są głównie przez nerki, ryzyko wystąpienia działań niepożądanych podczas przyjmowania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może być zwiększone u pacjentów z zaburzeniami czynności nerek, który to stan częściej występuje u osób w podeszłym wieku. Z tego też względu u pacjentów w wieku powyżej 65 lat,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należy stosować z zachowaniem ostrożności, natomiast u pacjentów w wieku powyżej 75 lat stosowanie go jest niezalecane.</w:t>
      </w:r>
    </w:p>
    <w:p w14:paraId="7361126B" w14:textId="77777777" w:rsidR="004E3AC5" w:rsidRPr="00BE28C4" w:rsidRDefault="004E3AC5">
      <w:pPr>
        <w:spacing w:line="240" w:lineRule="auto"/>
        <w:rPr>
          <w:szCs w:val="22"/>
        </w:rPr>
      </w:pPr>
    </w:p>
    <w:p w14:paraId="6E0C7E9E" w14:textId="77777777" w:rsidR="004E3AC5" w:rsidRPr="00BE28C4" w:rsidRDefault="00907ADD">
      <w:pPr>
        <w:keepNext/>
        <w:spacing w:line="240" w:lineRule="auto"/>
        <w:rPr>
          <w:szCs w:val="22"/>
          <w:u w:val="single"/>
        </w:rPr>
      </w:pPr>
      <w:r w:rsidRPr="00BE28C4">
        <w:rPr>
          <w:szCs w:val="22"/>
          <w:u w:val="single"/>
        </w:rPr>
        <w:lastRenderedPageBreak/>
        <w:t>Zaburzenia czynności nerek</w:t>
      </w:r>
    </w:p>
    <w:p w14:paraId="70625507" w14:textId="77777777" w:rsidR="004E3AC5" w:rsidRPr="00BE28C4" w:rsidRDefault="00907ADD">
      <w:pPr>
        <w:spacing w:line="240" w:lineRule="auto"/>
        <w:rPr>
          <w:szCs w:val="22"/>
        </w:rPr>
      </w:pPr>
      <w:r w:rsidRPr="00BE28C4">
        <w:rPr>
          <w:szCs w:val="22"/>
        </w:rPr>
        <w:t xml:space="preserve">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nie było szeroko badane u pacjentów z niewydolnością nerek. U pacjentów ze schyłkową niewydolnością nerek stosowanie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jest przeciwwskazane. U pacjentów z umiarkowanymi lub ciężkimi zaburzeniami czynności nerek maksymalna zalecana dawka dobowa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powinna zostać obniżona, ponieważ stężenia leków u tych pacjentów mogą być podwyższone, co może spowodować wzrost częstości działań niepożądanych (patrz punkty 4.2, 4.8 i 5.2). Przed rozpoczęciem stosowania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u osób ze zwiększonym ryzykiem zaburzeń czynności nerek, szczególnie u chorych na cukrzycę i osób w podeszłym wieku, należy oznaczyć szacunkowy wskaźnik przesączania kłębuszkowego (</w:t>
      </w:r>
      <w:proofErr w:type="spellStart"/>
      <w:r w:rsidRPr="00BE28C4">
        <w:rPr>
          <w:szCs w:val="22"/>
        </w:rPr>
        <w:t>eGFR</w:t>
      </w:r>
      <w:proofErr w:type="spellEnd"/>
      <w:r w:rsidRPr="00BE28C4">
        <w:rPr>
          <w:szCs w:val="22"/>
        </w:rPr>
        <w:t>).</w:t>
      </w:r>
    </w:p>
    <w:p w14:paraId="0764E176" w14:textId="77777777" w:rsidR="004E3AC5" w:rsidRPr="00BE28C4" w:rsidRDefault="004E3AC5">
      <w:pPr>
        <w:spacing w:line="240" w:lineRule="auto"/>
        <w:rPr>
          <w:szCs w:val="22"/>
        </w:rPr>
      </w:pPr>
    </w:p>
    <w:p w14:paraId="442A1F58" w14:textId="77777777" w:rsidR="004E3AC5" w:rsidRPr="00BE28C4" w:rsidRDefault="00907ADD">
      <w:pPr>
        <w:spacing w:line="240" w:lineRule="auto"/>
        <w:rPr>
          <w:szCs w:val="22"/>
          <w:u w:val="single"/>
        </w:rPr>
      </w:pPr>
      <w:r w:rsidRPr="00BE28C4">
        <w:rPr>
          <w:szCs w:val="22"/>
          <w:u w:val="single"/>
        </w:rPr>
        <w:t>Zaburzenia czynności wątroby</w:t>
      </w:r>
    </w:p>
    <w:p w14:paraId="1F0144A5" w14:textId="77777777" w:rsidR="004E3AC5" w:rsidRPr="00BE28C4" w:rsidRDefault="00907ADD">
      <w:pPr>
        <w:spacing w:line="240" w:lineRule="auto"/>
        <w:rPr>
          <w:lang w:val="pl"/>
        </w:rPr>
      </w:pPr>
      <w:r w:rsidRPr="00BE28C4">
        <w:rPr>
          <w:szCs w:val="22"/>
        </w:rPr>
        <w:t xml:space="preserve">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nie było badane na szeroką skalę u pacjentów z zaburzeniami czynności wątroby. U pacjentów z ciężkimi zaburzeniami czynności wątroby stosowanie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jest przeciwwskazane, a u pacjentów z umiarkowanymi zaburzeniami czynności wątroby — jest niezalecane (patrz punkty 4.2, 4.3 i 5.2). </w:t>
      </w:r>
      <w:r w:rsidRPr="00BE28C4">
        <w:rPr>
          <w:lang w:val="pl"/>
        </w:rPr>
        <w:t xml:space="preserve">U pacjentów z łagodnymi zaburzeniami czynności wątroby maksymalną dobową dawkę skojarzenia </w:t>
      </w:r>
      <w:proofErr w:type="spellStart"/>
      <w:r w:rsidRPr="00BE28C4">
        <w:rPr>
          <w:lang w:val="pl"/>
        </w:rPr>
        <w:t>naltrekson</w:t>
      </w:r>
      <w:proofErr w:type="spellEnd"/>
      <w:r w:rsidRPr="00BE28C4">
        <w:rPr>
          <w:lang w:val="pl"/>
        </w:rPr>
        <w:t xml:space="preserve"> + </w:t>
      </w:r>
      <w:proofErr w:type="spellStart"/>
      <w:r w:rsidRPr="00BE28C4">
        <w:rPr>
          <w:lang w:val="pl"/>
        </w:rPr>
        <w:t>bupropion</w:t>
      </w:r>
      <w:proofErr w:type="spellEnd"/>
      <w:r w:rsidRPr="00BE28C4">
        <w:rPr>
          <w:lang w:val="pl"/>
        </w:rPr>
        <w:t xml:space="preserve"> należy zmniejszyć, gdyż u tych pacjentów może występować wyższe stężenie leku, co mogłoby spowodować zwiększenie niepożądanych działań leku (patrz punkty 4.2 i 5.2).</w:t>
      </w:r>
    </w:p>
    <w:p w14:paraId="0EB320F9" w14:textId="77777777" w:rsidR="004E3AC5" w:rsidRPr="00BE28C4" w:rsidRDefault="004E3AC5">
      <w:pPr>
        <w:spacing w:line="240" w:lineRule="auto"/>
        <w:rPr>
          <w:lang w:val="pl"/>
        </w:rPr>
      </w:pPr>
    </w:p>
    <w:p w14:paraId="09049853" w14:textId="77777777" w:rsidR="004E3AC5" w:rsidRPr="00BE28C4" w:rsidRDefault="00907ADD">
      <w:pPr>
        <w:tabs>
          <w:tab w:val="clear" w:pos="567"/>
          <w:tab w:val="left" w:pos="720"/>
        </w:tabs>
        <w:spacing w:line="240" w:lineRule="auto"/>
        <w:rPr>
          <w:szCs w:val="22"/>
          <w:u w:val="single"/>
          <w:lang w:eastAsia="en-US" w:bidi="ar-SA"/>
        </w:rPr>
      </w:pPr>
      <w:r w:rsidRPr="00BE28C4">
        <w:rPr>
          <w:szCs w:val="22"/>
          <w:u w:val="single"/>
          <w:lang w:eastAsia="en-US" w:bidi="ar-SA"/>
        </w:rPr>
        <w:t>Zespół serotoninowy</w:t>
      </w:r>
    </w:p>
    <w:p w14:paraId="10544D8B" w14:textId="77777777" w:rsidR="004E3AC5" w:rsidRPr="00BE28C4" w:rsidRDefault="004E3AC5">
      <w:pPr>
        <w:tabs>
          <w:tab w:val="clear" w:pos="567"/>
          <w:tab w:val="left" w:pos="720"/>
        </w:tabs>
        <w:spacing w:line="240" w:lineRule="auto"/>
        <w:rPr>
          <w:szCs w:val="22"/>
          <w:u w:val="single"/>
          <w:lang w:eastAsia="en-US" w:bidi="ar-SA"/>
        </w:rPr>
      </w:pPr>
    </w:p>
    <w:p w14:paraId="0D2F997A" w14:textId="60568205" w:rsidR="004E3AC5" w:rsidRPr="00BE28C4" w:rsidRDefault="00907ADD">
      <w:pPr>
        <w:tabs>
          <w:tab w:val="clear" w:pos="567"/>
          <w:tab w:val="left" w:pos="720"/>
        </w:tabs>
        <w:spacing w:line="240" w:lineRule="auto"/>
        <w:rPr>
          <w:szCs w:val="22"/>
          <w:lang w:eastAsia="en-US" w:bidi="ar-SA"/>
        </w:rPr>
      </w:pPr>
      <w:r w:rsidRPr="00BE28C4">
        <w:rPr>
          <w:szCs w:val="22"/>
          <w:lang w:eastAsia="en-US" w:bidi="ar-SA"/>
        </w:rPr>
        <w:t xml:space="preserve">Po wprowadzeniu produktu do obrotu zgłaszano występowanie zespołu serotoninowego – stanu potencjalnie zagrażającego życiu – podczas jednoczesnego stosowania </w:t>
      </w:r>
      <w:proofErr w:type="spellStart"/>
      <w:r w:rsidRPr="00BE28C4">
        <w:rPr>
          <w:szCs w:val="22"/>
          <w:lang w:eastAsia="en-US" w:bidi="ar-SA"/>
        </w:rPr>
        <w:t>naltreksonu</w:t>
      </w:r>
      <w:proofErr w:type="spellEnd"/>
      <w:r w:rsidRPr="00BE28C4">
        <w:rPr>
          <w:szCs w:val="22"/>
          <w:lang w:eastAsia="en-US" w:bidi="ar-SA"/>
        </w:rPr>
        <w:t>/</w:t>
      </w:r>
      <w:proofErr w:type="spellStart"/>
      <w:r w:rsidRPr="00BE28C4">
        <w:rPr>
          <w:szCs w:val="22"/>
          <w:lang w:eastAsia="en-US" w:bidi="ar-SA"/>
        </w:rPr>
        <w:t>bupropionu</w:t>
      </w:r>
      <w:proofErr w:type="spellEnd"/>
      <w:r w:rsidRPr="00BE28C4">
        <w:rPr>
          <w:szCs w:val="22"/>
          <w:lang w:eastAsia="en-US" w:bidi="ar-SA"/>
        </w:rPr>
        <w:t xml:space="preserve"> z lekami o działaniu serotoninergicznym, takimi jak selektywne inhibitory wychwytu zwrotnego serotoniny (</w:t>
      </w:r>
      <w:proofErr w:type="spellStart"/>
      <w:r w:rsidRPr="00BE28C4">
        <w:rPr>
          <w:szCs w:val="22"/>
          <w:lang w:eastAsia="en-US" w:bidi="ar-SA"/>
        </w:rPr>
        <w:t>Selective</w:t>
      </w:r>
      <w:proofErr w:type="spellEnd"/>
      <w:r w:rsidRPr="00BE28C4">
        <w:rPr>
          <w:szCs w:val="22"/>
          <w:lang w:eastAsia="en-US" w:bidi="ar-SA"/>
        </w:rPr>
        <w:t xml:space="preserve"> Serotonin </w:t>
      </w:r>
      <w:proofErr w:type="spellStart"/>
      <w:r w:rsidRPr="00BE28C4">
        <w:rPr>
          <w:szCs w:val="22"/>
          <w:lang w:eastAsia="en-US" w:bidi="ar-SA"/>
        </w:rPr>
        <w:t>Reuptake</w:t>
      </w:r>
      <w:proofErr w:type="spellEnd"/>
      <w:r w:rsidRPr="00BE28C4">
        <w:rPr>
          <w:szCs w:val="22"/>
          <w:lang w:eastAsia="en-US" w:bidi="ar-SA"/>
        </w:rPr>
        <w:t xml:space="preserve"> Inhibitor, SSRI)</w:t>
      </w:r>
      <w:r w:rsidR="002B2DEB" w:rsidRPr="00BE28C4">
        <w:rPr>
          <w:szCs w:val="22"/>
          <w:lang w:eastAsia="en-US" w:bidi="ar-SA"/>
        </w:rPr>
        <w:t xml:space="preserve">, </w:t>
      </w:r>
      <w:r w:rsidRPr="00BE28C4">
        <w:rPr>
          <w:szCs w:val="22"/>
          <w:lang w:eastAsia="en-US" w:bidi="ar-SA"/>
        </w:rPr>
        <w:t xml:space="preserve">inhibitory wychwytu zwrotnego serotoniny i noradrenaliny (Serotonin </w:t>
      </w:r>
      <w:proofErr w:type="spellStart"/>
      <w:r w:rsidRPr="00BE28C4">
        <w:rPr>
          <w:szCs w:val="22"/>
          <w:lang w:eastAsia="en-US" w:bidi="ar-SA"/>
        </w:rPr>
        <w:t>Norepinephrine</w:t>
      </w:r>
      <w:proofErr w:type="spellEnd"/>
      <w:r w:rsidRPr="00BE28C4">
        <w:rPr>
          <w:szCs w:val="22"/>
          <w:lang w:eastAsia="en-US" w:bidi="ar-SA"/>
        </w:rPr>
        <w:t xml:space="preserve"> </w:t>
      </w:r>
      <w:proofErr w:type="spellStart"/>
      <w:r w:rsidRPr="00BE28C4">
        <w:rPr>
          <w:szCs w:val="22"/>
          <w:lang w:eastAsia="en-US" w:bidi="ar-SA"/>
        </w:rPr>
        <w:t>Reuptake</w:t>
      </w:r>
      <w:proofErr w:type="spellEnd"/>
      <w:r w:rsidRPr="00BE28C4">
        <w:rPr>
          <w:szCs w:val="22"/>
          <w:lang w:eastAsia="en-US" w:bidi="ar-SA"/>
        </w:rPr>
        <w:t xml:space="preserve"> Inhibitor, SNRI) </w:t>
      </w:r>
      <w:r w:rsidR="0030084F" w:rsidRPr="00BE28C4">
        <w:rPr>
          <w:szCs w:val="22"/>
          <w:lang w:eastAsia="en-US" w:bidi="ar-SA"/>
        </w:rPr>
        <w:t xml:space="preserve">i </w:t>
      </w:r>
      <w:proofErr w:type="spellStart"/>
      <w:r w:rsidR="0030084F" w:rsidRPr="00BE28C4">
        <w:rPr>
          <w:szCs w:val="22"/>
          <w:lang w:eastAsia="en-US" w:bidi="ar-SA"/>
        </w:rPr>
        <w:t>opioidy</w:t>
      </w:r>
      <w:proofErr w:type="spellEnd"/>
      <w:r w:rsidR="0030084F" w:rsidRPr="00BE28C4">
        <w:rPr>
          <w:szCs w:val="22"/>
          <w:lang w:eastAsia="en-US" w:bidi="ar-SA"/>
        </w:rPr>
        <w:t xml:space="preserve"> (np. </w:t>
      </w:r>
      <w:proofErr w:type="spellStart"/>
      <w:r w:rsidR="0030084F" w:rsidRPr="00BE28C4">
        <w:rPr>
          <w:szCs w:val="22"/>
          <w:lang w:eastAsia="en-US" w:bidi="ar-SA"/>
        </w:rPr>
        <w:t>tramadol</w:t>
      </w:r>
      <w:proofErr w:type="spellEnd"/>
      <w:r w:rsidR="0030084F" w:rsidRPr="00BE28C4">
        <w:rPr>
          <w:szCs w:val="22"/>
          <w:lang w:eastAsia="en-US" w:bidi="ar-SA"/>
        </w:rPr>
        <w:t xml:space="preserve">, metadon) </w:t>
      </w:r>
      <w:r w:rsidRPr="00BE28C4">
        <w:rPr>
          <w:szCs w:val="22"/>
          <w:lang w:eastAsia="en-US" w:bidi="ar-SA"/>
        </w:rPr>
        <w:t>(patrz punkt</w:t>
      </w:r>
      <w:r w:rsidR="002B2DEB" w:rsidRPr="00BE28C4">
        <w:rPr>
          <w:szCs w:val="22"/>
          <w:lang w:eastAsia="en-US" w:bidi="ar-SA"/>
        </w:rPr>
        <w:t>y</w:t>
      </w:r>
      <w:r w:rsidRPr="00BE28C4">
        <w:rPr>
          <w:szCs w:val="22"/>
          <w:lang w:eastAsia="en-US" w:bidi="ar-SA"/>
        </w:rPr>
        <w:t> 4.5 i 4.8). Jeśli jednoczesne leczenie z zastosowaniem innych leków o działaniu serotoninergicznym jest klinicznie uzasadnione, zaleca się uważną obserwację pacjenta, w szczególności w momencie rozpoczęcia leczenia i podczas zwiększania dawki.</w:t>
      </w:r>
    </w:p>
    <w:p w14:paraId="761F97D6" w14:textId="77777777" w:rsidR="004E3AC5" w:rsidRPr="00BE28C4" w:rsidRDefault="00907ADD">
      <w:pPr>
        <w:spacing w:line="240" w:lineRule="auto"/>
      </w:pPr>
      <w:r w:rsidRPr="00BE28C4">
        <w:rPr>
          <w:szCs w:val="22"/>
          <w:lang w:eastAsia="en-US" w:bidi="ar-SA"/>
        </w:rPr>
        <w:t xml:space="preserve">Zespół serotoninowy może obejmować zmiany stanu psychicznego (np. pobudzenie, omamy, śpiączka), zaburzenia czynności układu autonomicznego (np. tachykardia, niestabilne ciśnienie krwi, hipertermia), zaburzenia czynności układu nerwowo-mięśniowego (np. </w:t>
      </w:r>
      <w:proofErr w:type="spellStart"/>
      <w:r w:rsidRPr="00BE28C4">
        <w:rPr>
          <w:szCs w:val="22"/>
          <w:lang w:eastAsia="en-US" w:bidi="ar-SA"/>
        </w:rPr>
        <w:t>hiperrefleksja</w:t>
      </w:r>
      <w:proofErr w:type="spellEnd"/>
      <w:r w:rsidRPr="00BE28C4">
        <w:rPr>
          <w:szCs w:val="22"/>
          <w:lang w:eastAsia="en-US" w:bidi="ar-SA"/>
        </w:rPr>
        <w:t>, zaburzenia koordynacji, sztywność) lub objawy ze strony układu pokarmowego (np. nudności, wymioty, biegunka). W przypadku podejrzenia wystąpienia zespołu serotoninowego należy rozważyć przerwanie leczenia.</w:t>
      </w:r>
    </w:p>
    <w:p w14:paraId="3510E7A0" w14:textId="77777777" w:rsidR="004E3AC5" w:rsidRPr="00BE28C4" w:rsidRDefault="004E3AC5">
      <w:pPr>
        <w:spacing w:line="240" w:lineRule="auto"/>
        <w:rPr>
          <w:szCs w:val="22"/>
        </w:rPr>
      </w:pPr>
    </w:p>
    <w:p w14:paraId="6492BAC4" w14:textId="77777777" w:rsidR="004E3AC5" w:rsidRPr="00BE28C4" w:rsidRDefault="00907ADD">
      <w:pPr>
        <w:spacing w:line="240" w:lineRule="auto"/>
        <w:rPr>
          <w:szCs w:val="22"/>
          <w:u w:val="single"/>
        </w:rPr>
      </w:pPr>
      <w:r w:rsidRPr="00BE28C4">
        <w:rPr>
          <w:szCs w:val="22"/>
          <w:u w:val="single"/>
        </w:rPr>
        <w:t>Objawy neuropsychiatryczne i aktywacja manii</w:t>
      </w:r>
    </w:p>
    <w:p w14:paraId="6C13E2A4" w14:textId="77777777" w:rsidR="004E3AC5" w:rsidRPr="00BE28C4" w:rsidRDefault="00907ADD">
      <w:pPr>
        <w:spacing w:line="240" w:lineRule="auto"/>
        <w:rPr>
          <w:szCs w:val="22"/>
        </w:rPr>
      </w:pPr>
      <w:r w:rsidRPr="00BE28C4">
        <w:rPr>
          <w:szCs w:val="22"/>
        </w:rPr>
        <w:t xml:space="preserve">U pacjentów z zaburzeniami nastroju, którzy z powodu dużego zaburzenia depresyjnego byli leczeni innymi, podobnymi do omawianego, produktami leczniczymi, opisywano przypadki aktywacji manii </w:t>
      </w:r>
      <w:r w:rsidRPr="00BE28C4">
        <w:rPr>
          <w:szCs w:val="22"/>
        </w:rPr>
        <w:br/>
        <w:t xml:space="preserve">i hipomanii. Aktywacji manii lub hipomanii nie obserwowano w badaniach klinicznych prowadzonych w celu oceny działania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stosowanego u pacjentów otyłych, z których to badań wykluczone były osoby otrzymujące przeciwdepresyjne produkty lecznicze. U pacjentów z epizodem maniakalnym w wywiadzie,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należy stosować z zachowaniem ostrożności.</w:t>
      </w:r>
    </w:p>
    <w:p w14:paraId="51EAADEE" w14:textId="77777777" w:rsidR="004E3AC5" w:rsidRPr="00BE28C4" w:rsidRDefault="004E3AC5">
      <w:pPr>
        <w:spacing w:line="240" w:lineRule="auto"/>
        <w:rPr>
          <w:szCs w:val="22"/>
        </w:rPr>
      </w:pPr>
    </w:p>
    <w:p w14:paraId="331F6325" w14:textId="77777777" w:rsidR="004E3AC5" w:rsidRPr="00BE28C4" w:rsidRDefault="00907ADD">
      <w:pPr>
        <w:spacing w:line="240" w:lineRule="auto"/>
        <w:rPr>
          <w:szCs w:val="22"/>
        </w:rPr>
      </w:pPr>
      <w:r w:rsidRPr="00BE28C4">
        <w:rPr>
          <w:lang w:val="pl"/>
        </w:rPr>
        <w:t xml:space="preserve">Zgłaszano występowanie napadów paniki podczas stosowania </w:t>
      </w:r>
      <w:proofErr w:type="spellStart"/>
      <w:r w:rsidRPr="00BE28C4">
        <w:rPr>
          <w:lang w:val="pl"/>
        </w:rPr>
        <w:t>naltreksonu</w:t>
      </w:r>
      <w:proofErr w:type="spellEnd"/>
      <w:r w:rsidRPr="00BE28C4">
        <w:rPr>
          <w:lang w:val="pl"/>
        </w:rPr>
        <w:t xml:space="preserve"> + </w:t>
      </w:r>
      <w:proofErr w:type="spellStart"/>
      <w:r w:rsidRPr="00BE28C4">
        <w:rPr>
          <w:lang w:val="pl"/>
        </w:rPr>
        <w:t>bupropionu</w:t>
      </w:r>
      <w:proofErr w:type="spellEnd"/>
      <w:r w:rsidRPr="00BE28C4">
        <w:rPr>
          <w:lang w:val="pl"/>
        </w:rPr>
        <w:t xml:space="preserve">, w szczególności u pacjentów ze stwierdzonymi w wywiadzie zaburzeniami psychicznymi. Przypadki te występowały najczęściej w początkowej fazie dostosowywania dawki i po zmianie dawki. U pacjentów ze stwierdzonymi w wywiadzie zaburzeniami psychicznymi należy stosować </w:t>
      </w:r>
      <w:proofErr w:type="spellStart"/>
      <w:r w:rsidRPr="00BE28C4">
        <w:rPr>
          <w:lang w:val="pl"/>
        </w:rPr>
        <w:t>naltrekson</w:t>
      </w:r>
      <w:proofErr w:type="spellEnd"/>
      <w:r w:rsidRPr="00BE28C4">
        <w:rPr>
          <w:lang w:val="pl"/>
        </w:rPr>
        <w:t xml:space="preserve"> + </w:t>
      </w:r>
      <w:proofErr w:type="spellStart"/>
      <w:r w:rsidRPr="00BE28C4">
        <w:rPr>
          <w:lang w:val="pl"/>
        </w:rPr>
        <w:t>bupropion</w:t>
      </w:r>
      <w:proofErr w:type="spellEnd"/>
      <w:r w:rsidRPr="00BE28C4">
        <w:rPr>
          <w:lang w:val="pl"/>
        </w:rPr>
        <w:t xml:space="preserve"> z zachowaniem ostrożności.</w:t>
      </w:r>
    </w:p>
    <w:p w14:paraId="562B5A8E" w14:textId="77777777" w:rsidR="004E3AC5" w:rsidRPr="00BE28C4" w:rsidRDefault="004E3AC5">
      <w:pPr>
        <w:spacing w:line="240" w:lineRule="auto"/>
        <w:rPr>
          <w:szCs w:val="22"/>
        </w:rPr>
      </w:pPr>
    </w:p>
    <w:p w14:paraId="583DEACD" w14:textId="77777777" w:rsidR="004E3AC5" w:rsidRPr="00BE28C4" w:rsidRDefault="00907ADD">
      <w:pPr>
        <w:spacing w:line="240" w:lineRule="auto"/>
        <w:rPr>
          <w:szCs w:val="22"/>
        </w:rPr>
      </w:pPr>
      <w:r w:rsidRPr="00BE28C4">
        <w:rPr>
          <w:szCs w:val="22"/>
        </w:rPr>
        <w:t xml:space="preserve">Z danych uzyskanych w badaniach na zwierzętach wynika, że </w:t>
      </w:r>
      <w:proofErr w:type="spellStart"/>
      <w:r w:rsidRPr="00BE28C4">
        <w:rPr>
          <w:szCs w:val="22"/>
        </w:rPr>
        <w:t>bupropion</w:t>
      </w:r>
      <w:proofErr w:type="spellEnd"/>
      <w:r w:rsidRPr="00BE28C4">
        <w:rPr>
          <w:szCs w:val="22"/>
        </w:rPr>
        <w:t xml:space="preserve"> wykazuje właściwości mogące sprzyjać jego nadużywaniu. Z przeprowadzonych badań skłonności do nadużywania </w:t>
      </w:r>
      <w:proofErr w:type="spellStart"/>
      <w:r w:rsidRPr="00BE28C4">
        <w:rPr>
          <w:szCs w:val="22"/>
        </w:rPr>
        <w:t>bupropionu</w:t>
      </w:r>
      <w:proofErr w:type="spellEnd"/>
      <w:r w:rsidRPr="00BE28C4">
        <w:rPr>
          <w:szCs w:val="22"/>
        </w:rPr>
        <w:t xml:space="preserve"> przez ludzi oraz z obszernych danych na temat stosowania </w:t>
      </w:r>
      <w:proofErr w:type="spellStart"/>
      <w:r w:rsidRPr="00BE28C4">
        <w:rPr>
          <w:szCs w:val="22"/>
        </w:rPr>
        <w:t>bupropionu</w:t>
      </w:r>
      <w:proofErr w:type="spellEnd"/>
      <w:r w:rsidRPr="00BE28C4">
        <w:rPr>
          <w:szCs w:val="22"/>
        </w:rPr>
        <w:t xml:space="preserve"> w warunkach codziennej praktyki klinicznej wynika jednak, że </w:t>
      </w:r>
      <w:proofErr w:type="spellStart"/>
      <w:r w:rsidRPr="00BE28C4">
        <w:rPr>
          <w:szCs w:val="22"/>
        </w:rPr>
        <w:t>bupropion</w:t>
      </w:r>
      <w:proofErr w:type="spellEnd"/>
      <w:r w:rsidRPr="00BE28C4">
        <w:rPr>
          <w:szCs w:val="22"/>
        </w:rPr>
        <w:t xml:space="preserve"> cechuje mały potencjał do jego nadużywania.</w:t>
      </w:r>
    </w:p>
    <w:p w14:paraId="5A65A5EB" w14:textId="77777777" w:rsidR="004E3AC5" w:rsidRPr="00BE28C4" w:rsidRDefault="004E3AC5">
      <w:pPr>
        <w:spacing w:line="240" w:lineRule="auto"/>
        <w:rPr>
          <w:szCs w:val="22"/>
        </w:rPr>
      </w:pPr>
    </w:p>
    <w:p w14:paraId="089B1459" w14:textId="77777777" w:rsidR="004E3AC5" w:rsidRPr="00BE28C4" w:rsidRDefault="00907ADD">
      <w:pPr>
        <w:tabs>
          <w:tab w:val="clear" w:pos="567"/>
        </w:tabs>
        <w:spacing w:line="240" w:lineRule="auto"/>
        <w:rPr>
          <w:szCs w:val="22"/>
          <w:u w:val="single"/>
        </w:rPr>
      </w:pPr>
      <w:r w:rsidRPr="00BE28C4">
        <w:rPr>
          <w:szCs w:val="22"/>
          <w:u w:val="single"/>
          <w:lang w:val="pl"/>
        </w:rPr>
        <w:t>Wpływ na zdolność prowadzenia pojazdów i obsługiwania maszyn</w:t>
      </w:r>
    </w:p>
    <w:p w14:paraId="406843FE" w14:textId="77777777" w:rsidR="004E3AC5" w:rsidRPr="00BE28C4" w:rsidRDefault="00907ADD">
      <w:pPr>
        <w:tabs>
          <w:tab w:val="clear" w:pos="567"/>
        </w:tabs>
        <w:spacing w:line="240" w:lineRule="auto"/>
        <w:rPr>
          <w:szCs w:val="22"/>
        </w:rPr>
      </w:pPr>
      <w:r w:rsidRPr="00BE28C4">
        <w:rPr>
          <w:szCs w:val="22"/>
          <w:lang w:val="pl"/>
        </w:rPr>
        <w:t xml:space="preserve">Stosowanie skojarzenia </w:t>
      </w:r>
      <w:proofErr w:type="spellStart"/>
      <w:r w:rsidRPr="00BE28C4">
        <w:rPr>
          <w:szCs w:val="22"/>
          <w:lang w:val="pl"/>
        </w:rPr>
        <w:t>naltrekson</w:t>
      </w:r>
      <w:proofErr w:type="spellEnd"/>
      <w:r w:rsidRPr="00BE28C4">
        <w:rPr>
          <w:szCs w:val="22"/>
          <w:lang w:val="pl"/>
        </w:rPr>
        <w:t xml:space="preserve"> + </w:t>
      </w:r>
      <w:proofErr w:type="spellStart"/>
      <w:r w:rsidRPr="00BE28C4">
        <w:rPr>
          <w:szCs w:val="22"/>
          <w:lang w:val="pl"/>
        </w:rPr>
        <w:t>bupropion</w:t>
      </w:r>
      <w:proofErr w:type="spellEnd"/>
      <w:r w:rsidRPr="00BE28C4">
        <w:rPr>
          <w:szCs w:val="22"/>
          <w:lang w:val="pl"/>
        </w:rPr>
        <w:t xml:space="preserve"> wiąże się z sennością i epizodami utraty przytomności, czasami spowodowanymi przez napad drgawkowy. Pacjentom należy zalecić zachowanie ostrożności podczas prowadzenia pojazdów i obsługiwania maszyn w trakcie leczenia skojarzeniem </w:t>
      </w:r>
      <w:proofErr w:type="spellStart"/>
      <w:r w:rsidRPr="00BE28C4">
        <w:rPr>
          <w:szCs w:val="22"/>
          <w:lang w:val="pl"/>
        </w:rPr>
        <w:t>naltrekson</w:t>
      </w:r>
      <w:proofErr w:type="spellEnd"/>
      <w:r w:rsidRPr="00BE28C4">
        <w:rPr>
          <w:szCs w:val="22"/>
          <w:lang w:val="pl"/>
        </w:rPr>
        <w:t xml:space="preserve"> + </w:t>
      </w:r>
      <w:proofErr w:type="spellStart"/>
      <w:r w:rsidRPr="00BE28C4">
        <w:rPr>
          <w:szCs w:val="22"/>
          <w:lang w:val="pl"/>
        </w:rPr>
        <w:t>buproprion</w:t>
      </w:r>
      <w:proofErr w:type="spellEnd"/>
      <w:r w:rsidRPr="00BE28C4">
        <w:rPr>
          <w:szCs w:val="22"/>
          <w:lang w:val="pl"/>
        </w:rPr>
        <w:t>, w szczególności na początku leczenia lub podczas fazy dostosowywania dawki. Pacjentom, u których wystąpią zawroty głowy, senność, utrata przytomności lub napad drgawkowy należy zalecić unikanie prowadzenia pojazdów i obsługi maszyn do czasu ustąpienia działań niepożądanych. Alternatywnie, można rozważyć przerwanie leczenia (patrz punkt 4.7 i 4.8).</w:t>
      </w:r>
    </w:p>
    <w:p w14:paraId="7B0540CF" w14:textId="77777777" w:rsidR="004E3AC5" w:rsidRPr="00BE28C4" w:rsidRDefault="004E3AC5">
      <w:pPr>
        <w:spacing w:line="240" w:lineRule="auto"/>
        <w:rPr>
          <w:szCs w:val="22"/>
        </w:rPr>
      </w:pPr>
    </w:p>
    <w:p w14:paraId="139447BA" w14:textId="77777777" w:rsidR="004E3AC5" w:rsidRPr="00BE28C4" w:rsidRDefault="00907ADD">
      <w:pPr>
        <w:spacing w:line="240" w:lineRule="auto"/>
        <w:rPr>
          <w:szCs w:val="22"/>
        </w:rPr>
      </w:pPr>
      <w:r w:rsidRPr="00BE28C4">
        <w:rPr>
          <w:szCs w:val="22"/>
          <w:u w:val="single"/>
        </w:rPr>
        <w:t>Laktoza</w:t>
      </w:r>
    </w:p>
    <w:p w14:paraId="3A906E3B" w14:textId="65A15AAD" w:rsidR="004E3AC5" w:rsidRDefault="00907ADD">
      <w:pPr>
        <w:spacing w:line="240" w:lineRule="auto"/>
        <w:rPr>
          <w:szCs w:val="22"/>
        </w:rPr>
      </w:pPr>
      <w:r w:rsidRPr="00BE28C4">
        <w:rPr>
          <w:szCs w:val="22"/>
        </w:rPr>
        <w:t>Lek nie powinien być stosowany u pacjentów z rzadko występującą dziedziczną nietolerancją galaktozy, wrodzonym niedoborem laktazy lub zespołem złego wchłaniania glukozy-galaktozy.</w:t>
      </w:r>
    </w:p>
    <w:p w14:paraId="7A208665" w14:textId="4CD0D1F1" w:rsidR="00744D44" w:rsidRDefault="00744D44">
      <w:pPr>
        <w:spacing w:line="240" w:lineRule="auto"/>
        <w:rPr>
          <w:szCs w:val="22"/>
        </w:rPr>
      </w:pPr>
    </w:p>
    <w:p w14:paraId="0212F122" w14:textId="5DA77F53" w:rsidR="00744D44" w:rsidRPr="009479C0" w:rsidRDefault="00744D44">
      <w:pPr>
        <w:spacing w:line="240" w:lineRule="auto"/>
        <w:rPr>
          <w:szCs w:val="22"/>
          <w:u w:val="single"/>
        </w:rPr>
      </w:pPr>
      <w:r w:rsidRPr="009479C0">
        <w:rPr>
          <w:szCs w:val="22"/>
          <w:u w:val="single"/>
        </w:rPr>
        <w:t>Materiały edukacyjne</w:t>
      </w:r>
    </w:p>
    <w:p w14:paraId="7DCC6D4A" w14:textId="77777777" w:rsidR="00B86A5A" w:rsidRDefault="00B86A5A">
      <w:pPr>
        <w:spacing w:line="240" w:lineRule="auto"/>
        <w:rPr>
          <w:szCs w:val="22"/>
        </w:rPr>
      </w:pPr>
    </w:p>
    <w:p w14:paraId="73857B95" w14:textId="29C73EF7" w:rsidR="00744D44" w:rsidRPr="00BE28C4" w:rsidRDefault="00744D44">
      <w:pPr>
        <w:spacing w:line="240" w:lineRule="auto"/>
        <w:rPr>
          <w:szCs w:val="22"/>
        </w:rPr>
      </w:pPr>
      <w:r w:rsidRPr="00744D44">
        <w:rPr>
          <w:szCs w:val="22"/>
        </w:rPr>
        <w:t xml:space="preserve">Wszyscy lekarze, którzy zamierzają przepisywać lek </w:t>
      </w:r>
      <w:proofErr w:type="spellStart"/>
      <w:r w:rsidRPr="00744D44">
        <w:rPr>
          <w:szCs w:val="22"/>
        </w:rPr>
        <w:t>Mysimba</w:t>
      </w:r>
      <w:proofErr w:type="spellEnd"/>
      <w:r w:rsidRPr="00744D44">
        <w:rPr>
          <w:szCs w:val="22"/>
        </w:rPr>
        <w:t xml:space="preserve">, </w:t>
      </w:r>
      <w:r>
        <w:rPr>
          <w:szCs w:val="22"/>
        </w:rPr>
        <w:t>są zobowiązani do</w:t>
      </w:r>
      <w:r w:rsidRPr="00744D44">
        <w:rPr>
          <w:szCs w:val="22"/>
        </w:rPr>
        <w:t xml:space="preserve"> upewni</w:t>
      </w:r>
      <w:r>
        <w:rPr>
          <w:szCs w:val="22"/>
        </w:rPr>
        <w:t>enia</w:t>
      </w:r>
      <w:r w:rsidRPr="00744D44">
        <w:rPr>
          <w:szCs w:val="22"/>
        </w:rPr>
        <w:t xml:space="preserve"> się, że otrzymali i zapoznali się z materiałami edukacyjnymi dla lekarzy. Lekarze </w:t>
      </w:r>
      <w:r>
        <w:rPr>
          <w:szCs w:val="22"/>
        </w:rPr>
        <w:t>są zobowiązani do</w:t>
      </w:r>
      <w:r w:rsidRPr="00744D44">
        <w:rPr>
          <w:szCs w:val="22"/>
        </w:rPr>
        <w:t xml:space="preserve"> wyjaśni</w:t>
      </w:r>
      <w:r>
        <w:rPr>
          <w:szCs w:val="22"/>
        </w:rPr>
        <w:t>enia</w:t>
      </w:r>
      <w:r w:rsidRPr="00744D44">
        <w:rPr>
          <w:szCs w:val="22"/>
        </w:rPr>
        <w:t xml:space="preserve"> i omówi</w:t>
      </w:r>
      <w:r>
        <w:rPr>
          <w:szCs w:val="22"/>
        </w:rPr>
        <w:t>enia</w:t>
      </w:r>
      <w:r w:rsidRPr="00744D44">
        <w:rPr>
          <w:szCs w:val="22"/>
        </w:rPr>
        <w:t xml:space="preserve"> z pacjentem korzyści i zagroże</w:t>
      </w:r>
      <w:r w:rsidR="00E3056C">
        <w:rPr>
          <w:szCs w:val="22"/>
        </w:rPr>
        <w:t>ń</w:t>
      </w:r>
      <w:r>
        <w:rPr>
          <w:szCs w:val="22"/>
        </w:rPr>
        <w:t xml:space="preserve"> wiążąc</w:t>
      </w:r>
      <w:r w:rsidR="00E3056C">
        <w:rPr>
          <w:szCs w:val="22"/>
        </w:rPr>
        <w:t>ych</w:t>
      </w:r>
      <w:r>
        <w:rPr>
          <w:szCs w:val="22"/>
        </w:rPr>
        <w:t xml:space="preserve"> się</w:t>
      </w:r>
      <w:r w:rsidRPr="00744D44">
        <w:rPr>
          <w:szCs w:val="22"/>
        </w:rPr>
        <w:t xml:space="preserve"> z terapią lekiem </w:t>
      </w:r>
      <w:proofErr w:type="spellStart"/>
      <w:r w:rsidRPr="00744D44">
        <w:rPr>
          <w:szCs w:val="22"/>
        </w:rPr>
        <w:t>Mysimba</w:t>
      </w:r>
      <w:proofErr w:type="spellEnd"/>
      <w:r w:rsidRPr="00744D44">
        <w:rPr>
          <w:szCs w:val="22"/>
        </w:rPr>
        <w:t xml:space="preserve">, zgodnie z informacjami zawartymi w </w:t>
      </w:r>
      <w:proofErr w:type="spellStart"/>
      <w:r w:rsidRPr="00744D44">
        <w:rPr>
          <w:szCs w:val="22"/>
        </w:rPr>
        <w:t>ChPL</w:t>
      </w:r>
      <w:proofErr w:type="spellEnd"/>
      <w:r w:rsidRPr="00744D44">
        <w:rPr>
          <w:szCs w:val="22"/>
        </w:rPr>
        <w:t xml:space="preserve"> i Informator</w:t>
      </w:r>
      <w:r>
        <w:rPr>
          <w:szCs w:val="22"/>
        </w:rPr>
        <w:t>ze</w:t>
      </w:r>
      <w:r w:rsidRPr="00744D44">
        <w:rPr>
          <w:szCs w:val="22"/>
        </w:rPr>
        <w:t xml:space="preserve"> dla zlecających leczenie</w:t>
      </w:r>
      <w:r>
        <w:rPr>
          <w:szCs w:val="22"/>
        </w:rPr>
        <w:t xml:space="preserve"> (P</w:t>
      </w:r>
      <w:r w:rsidRPr="00744D44">
        <w:rPr>
          <w:szCs w:val="22"/>
        </w:rPr>
        <w:t>rzewodnik dla lekarza przepisującego lek</w:t>
      </w:r>
      <w:r>
        <w:rPr>
          <w:szCs w:val="22"/>
        </w:rPr>
        <w:t>)</w:t>
      </w:r>
      <w:r w:rsidRPr="00744D44">
        <w:rPr>
          <w:szCs w:val="22"/>
        </w:rPr>
        <w:t>.</w:t>
      </w:r>
    </w:p>
    <w:p w14:paraId="51E1A819" w14:textId="77777777" w:rsidR="004E3AC5" w:rsidRPr="00BE28C4" w:rsidRDefault="004E3AC5">
      <w:pPr>
        <w:spacing w:line="240" w:lineRule="auto"/>
        <w:rPr>
          <w:szCs w:val="22"/>
        </w:rPr>
      </w:pPr>
    </w:p>
    <w:p w14:paraId="58FA98AE" w14:textId="77777777" w:rsidR="004E3AC5" w:rsidRPr="00BE28C4" w:rsidRDefault="00907ADD">
      <w:pPr>
        <w:keepNext/>
        <w:spacing w:line="240" w:lineRule="auto"/>
        <w:ind w:left="567" w:hanging="567"/>
        <w:rPr>
          <w:szCs w:val="22"/>
        </w:rPr>
      </w:pPr>
      <w:r w:rsidRPr="00BE28C4">
        <w:rPr>
          <w:b/>
          <w:szCs w:val="22"/>
        </w:rPr>
        <w:t>4.5</w:t>
      </w:r>
      <w:r w:rsidRPr="00BE28C4">
        <w:rPr>
          <w:szCs w:val="22"/>
        </w:rPr>
        <w:tab/>
      </w:r>
      <w:r w:rsidRPr="00BE28C4">
        <w:rPr>
          <w:b/>
          <w:szCs w:val="22"/>
        </w:rPr>
        <w:t>Interakcje z innymi produktami leczniczymi i inne rodzaje interakcji</w:t>
      </w:r>
    </w:p>
    <w:p w14:paraId="20C01DA2" w14:textId="77777777" w:rsidR="004E3AC5" w:rsidRPr="00BE28C4" w:rsidRDefault="004E3AC5">
      <w:pPr>
        <w:keepNext/>
        <w:spacing w:line="240" w:lineRule="auto"/>
        <w:ind w:left="567" w:hanging="567"/>
        <w:rPr>
          <w:szCs w:val="22"/>
        </w:rPr>
      </w:pPr>
    </w:p>
    <w:p w14:paraId="053DA234" w14:textId="77777777" w:rsidR="004E3AC5" w:rsidRPr="00BE28C4" w:rsidRDefault="00907ADD">
      <w:pPr>
        <w:spacing w:line="240" w:lineRule="auto"/>
        <w:rPr>
          <w:szCs w:val="22"/>
          <w:u w:val="single"/>
        </w:rPr>
      </w:pPr>
      <w:r w:rsidRPr="00BE28C4">
        <w:rPr>
          <w:szCs w:val="22"/>
          <w:u w:val="single"/>
        </w:rPr>
        <w:t>Inhibitory monoaminooksydazy (inhibitory MAO)</w:t>
      </w:r>
    </w:p>
    <w:p w14:paraId="288449E8" w14:textId="77777777" w:rsidR="004E3AC5" w:rsidRPr="00BE28C4" w:rsidRDefault="00907ADD">
      <w:pPr>
        <w:autoSpaceDE w:val="0"/>
        <w:autoSpaceDN w:val="0"/>
        <w:adjustRightInd w:val="0"/>
        <w:spacing w:line="240" w:lineRule="auto"/>
        <w:rPr>
          <w:szCs w:val="22"/>
        </w:rPr>
      </w:pPr>
      <w:r w:rsidRPr="00BE28C4">
        <w:rPr>
          <w:szCs w:val="22"/>
        </w:rPr>
        <w:t xml:space="preserve">Ponieważ inhibitory monoaminooksydazy typu A i typu B również nasilają przewodnictwo w szlakach katecholaminergicznych, choć w odmiennym od </w:t>
      </w:r>
      <w:proofErr w:type="spellStart"/>
      <w:r w:rsidRPr="00BE28C4">
        <w:rPr>
          <w:szCs w:val="22"/>
        </w:rPr>
        <w:t>bupropionu</w:t>
      </w:r>
      <w:proofErr w:type="spellEnd"/>
      <w:r w:rsidRPr="00BE28C4">
        <w:rPr>
          <w:szCs w:val="22"/>
        </w:rPr>
        <w:t xml:space="preserve"> mechanizmie,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nie wolno stosować jednocześnie z inhibitorami MAO (patrz punkt 4.3).</w:t>
      </w:r>
    </w:p>
    <w:p w14:paraId="761418C7" w14:textId="77777777" w:rsidR="004E3AC5" w:rsidRPr="00BE28C4" w:rsidRDefault="004E3AC5">
      <w:pPr>
        <w:spacing w:line="240" w:lineRule="auto"/>
        <w:rPr>
          <w:b/>
          <w:szCs w:val="22"/>
        </w:rPr>
      </w:pPr>
    </w:p>
    <w:p w14:paraId="7C077FC7" w14:textId="78449C87" w:rsidR="004E3AC5" w:rsidRPr="00BE28C4" w:rsidRDefault="008A1F1F">
      <w:pPr>
        <w:spacing w:line="240" w:lineRule="auto"/>
        <w:rPr>
          <w:szCs w:val="22"/>
          <w:u w:val="single"/>
        </w:rPr>
      </w:pPr>
      <w:r w:rsidRPr="00BE28C4">
        <w:rPr>
          <w:szCs w:val="22"/>
          <w:u w:val="single"/>
        </w:rPr>
        <w:t>L</w:t>
      </w:r>
      <w:r w:rsidR="00907ADD" w:rsidRPr="00BE28C4">
        <w:rPr>
          <w:szCs w:val="22"/>
          <w:u w:val="single"/>
        </w:rPr>
        <w:t xml:space="preserve">eki </w:t>
      </w:r>
      <w:proofErr w:type="spellStart"/>
      <w:r w:rsidRPr="00BE28C4">
        <w:rPr>
          <w:szCs w:val="22"/>
          <w:u w:val="single"/>
        </w:rPr>
        <w:t>opiodowe</w:t>
      </w:r>
      <w:proofErr w:type="spellEnd"/>
    </w:p>
    <w:p w14:paraId="46BDEE4D" w14:textId="3FA44815" w:rsidR="004E3AC5" w:rsidRPr="00BE28C4" w:rsidRDefault="00907ADD">
      <w:pPr>
        <w:spacing w:line="240" w:lineRule="auto"/>
        <w:rPr>
          <w:szCs w:val="22"/>
        </w:rPr>
      </w:pPr>
      <w:r w:rsidRPr="00BE28C4">
        <w:rPr>
          <w:szCs w:val="22"/>
        </w:rPr>
        <w:t xml:space="preserve">Stosowanie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jest przeciwwskazane u pacjentów </w:t>
      </w:r>
      <w:r w:rsidR="008A1F1F" w:rsidRPr="00BE28C4">
        <w:rPr>
          <w:szCs w:val="22"/>
        </w:rPr>
        <w:t>uzależnionych od</w:t>
      </w:r>
      <w:r w:rsidRPr="00BE28C4">
        <w:rPr>
          <w:szCs w:val="22"/>
        </w:rPr>
        <w:t xml:space="preserve"> </w:t>
      </w:r>
      <w:proofErr w:type="spellStart"/>
      <w:r w:rsidRPr="00BE28C4">
        <w:rPr>
          <w:szCs w:val="22"/>
        </w:rPr>
        <w:t>opioid</w:t>
      </w:r>
      <w:r w:rsidR="008A1F1F" w:rsidRPr="00BE28C4">
        <w:rPr>
          <w:szCs w:val="22"/>
        </w:rPr>
        <w:t>ów</w:t>
      </w:r>
      <w:proofErr w:type="spellEnd"/>
      <w:r w:rsidR="008A1F1F" w:rsidRPr="00BE28C4">
        <w:rPr>
          <w:szCs w:val="22"/>
        </w:rPr>
        <w:t xml:space="preserve">, w tym od leków zawierających </w:t>
      </w:r>
      <w:proofErr w:type="spellStart"/>
      <w:r w:rsidR="008A1F1F" w:rsidRPr="00BE28C4">
        <w:rPr>
          <w:szCs w:val="22"/>
        </w:rPr>
        <w:t>opioidy</w:t>
      </w:r>
      <w:proofErr w:type="spellEnd"/>
      <w:r w:rsidR="008A1F1F" w:rsidRPr="00BE28C4">
        <w:rPr>
          <w:szCs w:val="22"/>
        </w:rPr>
        <w:t>, pacjentów leczonych</w:t>
      </w:r>
      <w:r w:rsidRPr="00BE28C4">
        <w:rPr>
          <w:szCs w:val="22"/>
        </w:rPr>
        <w:t xml:space="preserve"> agonistami </w:t>
      </w:r>
      <w:proofErr w:type="spellStart"/>
      <w:r w:rsidRPr="00BE28C4">
        <w:rPr>
          <w:szCs w:val="22"/>
        </w:rPr>
        <w:t>opioidów</w:t>
      </w:r>
      <w:proofErr w:type="spellEnd"/>
      <w:r w:rsidRPr="00BE28C4">
        <w:rPr>
          <w:szCs w:val="22"/>
        </w:rPr>
        <w:t xml:space="preserve"> (np. metadonem</w:t>
      </w:r>
      <w:r w:rsidR="008A1F1F" w:rsidRPr="00BE28C4">
        <w:rPr>
          <w:szCs w:val="22"/>
        </w:rPr>
        <w:t xml:space="preserve">, </w:t>
      </w:r>
      <w:proofErr w:type="spellStart"/>
      <w:r w:rsidR="008A1F1F" w:rsidRPr="00BE28C4">
        <w:rPr>
          <w:szCs w:val="22"/>
        </w:rPr>
        <w:t>buprenorfiną</w:t>
      </w:r>
      <w:proofErr w:type="spellEnd"/>
      <w:r w:rsidRPr="00BE28C4">
        <w:rPr>
          <w:szCs w:val="22"/>
        </w:rPr>
        <w:t xml:space="preserve">), a także w okresie bezpośrednio po nagłym odstawieniu </w:t>
      </w:r>
      <w:proofErr w:type="spellStart"/>
      <w:r w:rsidRPr="00BE28C4">
        <w:rPr>
          <w:szCs w:val="22"/>
        </w:rPr>
        <w:t>opioidów</w:t>
      </w:r>
      <w:proofErr w:type="spellEnd"/>
      <w:r w:rsidRPr="00BE28C4">
        <w:rPr>
          <w:szCs w:val="22"/>
        </w:rPr>
        <w:t xml:space="preserve"> (patrz punkt</w:t>
      </w:r>
      <w:r w:rsidR="00383757" w:rsidRPr="00BE28C4">
        <w:rPr>
          <w:szCs w:val="22"/>
        </w:rPr>
        <w:t>y</w:t>
      </w:r>
      <w:r w:rsidRPr="00BE28C4">
        <w:rPr>
          <w:szCs w:val="22"/>
        </w:rPr>
        <w:t> 4.3</w:t>
      </w:r>
      <w:r w:rsidR="008A1F1F" w:rsidRPr="00BE28C4">
        <w:rPr>
          <w:szCs w:val="22"/>
        </w:rPr>
        <w:t xml:space="preserve"> i 4.4</w:t>
      </w:r>
      <w:r w:rsidRPr="00BE28C4">
        <w:rPr>
          <w:szCs w:val="22"/>
        </w:rPr>
        <w:t xml:space="preserve">). Ze względu na antagonistyczne działanie </w:t>
      </w:r>
      <w:proofErr w:type="spellStart"/>
      <w:r w:rsidRPr="00BE28C4">
        <w:rPr>
          <w:szCs w:val="22"/>
        </w:rPr>
        <w:t>naltreksonu</w:t>
      </w:r>
      <w:proofErr w:type="spellEnd"/>
      <w:r w:rsidRPr="00BE28C4">
        <w:rPr>
          <w:szCs w:val="22"/>
        </w:rPr>
        <w:t xml:space="preserve"> na receptory opioidowe pacjenci przyjmujący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mogą nie odnosić pełnych korzyści z przyjmowania produktów leczniczych zawierających </w:t>
      </w:r>
      <w:proofErr w:type="spellStart"/>
      <w:r w:rsidRPr="00BE28C4">
        <w:rPr>
          <w:szCs w:val="22"/>
        </w:rPr>
        <w:t>opioidy</w:t>
      </w:r>
      <w:proofErr w:type="spellEnd"/>
      <w:r w:rsidRPr="00BE28C4">
        <w:rPr>
          <w:szCs w:val="22"/>
        </w:rPr>
        <w:t>, takich jak leki na kaszel i przeziębienie, leki przeciwbiegunkowe czy analgetyki opioidowe.</w:t>
      </w:r>
    </w:p>
    <w:p w14:paraId="7F6BE74C" w14:textId="77777777" w:rsidR="004E3AC5" w:rsidRPr="00BE28C4" w:rsidRDefault="004E3AC5">
      <w:pPr>
        <w:spacing w:line="240" w:lineRule="auto"/>
        <w:rPr>
          <w:b/>
          <w:szCs w:val="22"/>
        </w:rPr>
      </w:pPr>
    </w:p>
    <w:p w14:paraId="69953AF4" w14:textId="77777777" w:rsidR="004E3AC5" w:rsidRPr="00BE28C4" w:rsidRDefault="00907ADD">
      <w:pPr>
        <w:spacing w:line="240" w:lineRule="auto"/>
        <w:rPr>
          <w:szCs w:val="22"/>
          <w:u w:val="single"/>
        </w:rPr>
      </w:pPr>
      <w:r w:rsidRPr="00BE28C4">
        <w:rPr>
          <w:szCs w:val="22"/>
          <w:u w:val="single"/>
        </w:rPr>
        <w:t>Substancje czynne metabolizowane przez izoenzymy cytochromu P450</w:t>
      </w:r>
    </w:p>
    <w:p w14:paraId="1D0395A8" w14:textId="77777777" w:rsidR="004E3AC5" w:rsidRPr="00BE28C4" w:rsidRDefault="00907ADD">
      <w:pPr>
        <w:spacing w:line="240" w:lineRule="auto"/>
        <w:rPr>
          <w:szCs w:val="22"/>
          <w:u w:val="single"/>
        </w:rPr>
      </w:pPr>
      <w:proofErr w:type="spellStart"/>
      <w:r w:rsidRPr="00BE28C4">
        <w:rPr>
          <w:szCs w:val="22"/>
        </w:rPr>
        <w:t>Bupropion</w:t>
      </w:r>
      <w:proofErr w:type="spellEnd"/>
      <w:r w:rsidRPr="00BE28C4">
        <w:rPr>
          <w:szCs w:val="22"/>
        </w:rPr>
        <w:t xml:space="preserve"> jest metabolizowany do swojego głównego, farmakologicznie czynnego metabolitu — </w:t>
      </w:r>
      <w:proofErr w:type="spellStart"/>
      <w:r w:rsidRPr="00BE28C4">
        <w:rPr>
          <w:szCs w:val="22"/>
        </w:rPr>
        <w:t>hydroksybupropionu</w:t>
      </w:r>
      <w:proofErr w:type="spellEnd"/>
      <w:r w:rsidRPr="00BE28C4">
        <w:rPr>
          <w:szCs w:val="22"/>
        </w:rPr>
        <w:t xml:space="preserve"> — przez izoenzym 2B6 cytochromu P450, czyli przez izoenzym CYP2B6, w związku z czym w trakcie stosowania omawianego produktu leczniczego istnieje możliwość wystąpienia interakcji przy jednoczesnym stosowaniu produktów leczniczych indukujących lub hamujących aktywność izoenzymu CYP2B6. Choć </w:t>
      </w:r>
      <w:proofErr w:type="spellStart"/>
      <w:r w:rsidRPr="00BE28C4">
        <w:rPr>
          <w:szCs w:val="22"/>
        </w:rPr>
        <w:t>bupropion</w:t>
      </w:r>
      <w:proofErr w:type="spellEnd"/>
      <w:r w:rsidRPr="00BE28C4">
        <w:rPr>
          <w:szCs w:val="22"/>
        </w:rPr>
        <w:t xml:space="preserve"> nie jest metabolizowany przez izoenzym CYP2D6, to zarówno on sam, jak i jego główny metabolit — </w:t>
      </w:r>
      <w:proofErr w:type="spellStart"/>
      <w:r w:rsidRPr="00BE28C4">
        <w:rPr>
          <w:szCs w:val="22"/>
        </w:rPr>
        <w:t>hydroksybupropion</w:t>
      </w:r>
      <w:proofErr w:type="spellEnd"/>
      <w:r w:rsidRPr="00BE28C4">
        <w:rPr>
          <w:szCs w:val="22"/>
        </w:rPr>
        <w:t xml:space="preserve"> — hamują szlak przemian metabolicznych katalizowanych przez izoenzym CYP2D6 i dlatego mogą wpływać na działanie produktów leczniczych metabolizowanych przez ten izoenzym.</w:t>
      </w:r>
    </w:p>
    <w:p w14:paraId="2D9120E7" w14:textId="77777777" w:rsidR="004E3AC5" w:rsidRPr="00BE28C4" w:rsidRDefault="004E3AC5">
      <w:pPr>
        <w:spacing w:line="240" w:lineRule="auto"/>
        <w:rPr>
          <w:szCs w:val="22"/>
          <w:u w:val="single"/>
        </w:rPr>
      </w:pPr>
    </w:p>
    <w:p w14:paraId="33A813B6" w14:textId="77777777" w:rsidR="004E3AC5" w:rsidRPr="00BE28C4" w:rsidRDefault="00907ADD">
      <w:pPr>
        <w:spacing w:line="240" w:lineRule="auto"/>
        <w:rPr>
          <w:i/>
          <w:szCs w:val="22"/>
          <w:u w:val="single"/>
        </w:rPr>
      </w:pPr>
      <w:r w:rsidRPr="00BE28C4">
        <w:rPr>
          <w:i/>
          <w:szCs w:val="22"/>
          <w:u w:val="single"/>
        </w:rPr>
        <w:t>Substraty izoenzymu CYP2D6</w:t>
      </w:r>
    </w:p>
    <w:p w14:paraId="52090622" w14:textId="77777777" w:rsidR="004E3AC5" w:rsidRPr="00BE28C4" w:rsidRDefault="00907ADD">
      <w:pPr>
        <w:spacing w:line="240" w:lineRule="auto"/>
        <w:rPr>
          <w:szCs w:val="22"/>
        </w:rPr>
      </w:pPr>
      <w:r w:rsidRPr="00BE28C4">
        <w:rPr>
          <w:szCs w:val="22"/>
        </w:rPr>
        <w:t xml:space="preserve">W jednym z badań klinicznych,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 dawce dobowej 32 mg </w:t>
      </w:r>
      <w:proofErr w:type="spellStart"/>
      <w:r w:rsidRPr="00BE28C4">
        <w:rPr>
          <w:szCs w:val="22"/>
        </w:rPr>
        <w:t>naltreksonu</w:t>
      </w:r>
      <w:proofErr w:type="spellEnd"/>
      <w:r w:rsidRPr="00BE28C4">
        <w:rPr>
          <w:szCs w:val="22"/>
        </w:rPr>
        <w:t xml:space="preserve"> chlorowodorku i 360 mg </w:t>
      </w:r>
      <w:proofErr w:type="spellStart"/>
      <w:r w:rsidRPr="00BE28C4">
        <w:rPr>
          <w:szCs w:val="22"/>
        </w:rPr>
        <w:t>bupropionu</w:t>
      </w:r>
      <w:proofErr w:type="spellEnd"/>
      <w:r w:rsidRPr="00BE28C4">
        <w:rPr>
          <w:szCs w:val="22"/>
        </w:rPr>
        <w:t xml:space="preserve"> chlorowodorku) podawano jednocześnie z </w:t>
      </w:r>
      <w:proofErr w:type="spellStart"/>
      <w:r w:rsidRPr="00BE28C4">
        <w:rPr>
          <w:szCs w:val="22"/>
        </w:rPr>
        <w:t>metoprololem</w:t>
      </w:r>
      <w:proofErr w:type="spellEnd"/>
      <w:r w:rsidRPr="00BE28C4">
        <w:rPr>
          <w:szCs w:val="22"/>
        </w:rPr>
        <w:t xml:space="preserve"> w dawce 50 mg (</w:t>
      </w:r>
      <w:proofErr w:type="spellStart"/>
      <w:r w:rsidRPr="00BE28C4">
        <w:rPr>
          <w:szCs w:val="22"/>
        </w:rPr>
        <w:t>metoprolol</w:t>
      </w:r>
      <w:proofErr w:type="spellEnd"/>
      <w:r w:rsidRPr="00BE28C4">
        <w:rPr>
          <w:szCs w:val="22"/>
        </w:rPr>
        <w:t xml:space="preserve"> jest substratem izoenzymu CYP2D6). W wyniku przeprowadzonego badania stwierdzono, że stosowanie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jednocześnie z </w:t>
      </w:r>
      <w:proofErr w:type="spellStart"/>
      <w:r w:rsidRPr="00BE28C4">
        <w:rPr>
          <w:szCs w:val="22"/>
        </w:rPr>
        <w:t>metoprololem</w:t>
      </w:r>
      <w:proofErr w:type="spellEnd"/>
      <w:r w:rsidRPr="00BE28C4">
        <w:rPr>
          <w:szCs w:val="22"/>
        </w:rPr>
        <w:t xml:space="preserve"> prowadzi do około 4</w:t>
      </w:r>
      <w:r w:rsidRPr="00BE28C4">
        <w:rPr>
          <w:szCs w:val="22"/>
        </w:rPr>
        <w:noBreakHyphen/>
        <w:t xml:space="preserve">krotnego wzrostu wartości AUC dla </w:t>
      </w:r>
      <w:proofErr w:type="spellStart"/>
      <w:r w:rsidRPr="00BE28C4">
        <w:rPr>
          <w:szCs w:val="22"/>
        </w:rPr>
        <w:t>metoprololu</w:t>
      </w:r>
      <w:proofErr w:type="spellEnd"/>
      <w:r w:rsidRPr="00BE28C4">
        <w:rPr>
          <w:szCs w:val="22"/>
        </w:rPr>
        <w:t xml:space="preserve"> i około 2</w:t>
      </w:r>
      <w:r w:rsidRPr="00BE28C4">
        <w:rPr>
          <w:szCs w:val="22"/>
        </w:rPr>
        <w:noBreakHyphen/>
        <w:t xml:space="preserve">krotnego wzrostu wartości </w:t>
      </w:r>
      <w:proofErr w:type="spellStart"/>
      <w:r w:rsidRPr="00BE28C4">
        <w:rPr>
          <w:szCs w:val="22"/>
        </w:rPr>
        <w:t>C</w:t>
      </w:r>
      <w:r w:rsidRPr="00BE28C4">
        <w:rPr>
          <w:szCs w:val="22"/>
          <w:vertAlign w:val="subscript"/>
        </w:rPr>
        <w:t>max</w:t>
      </w:r>
      <w:proofErr w:type="spellEnd"/>
      <w:r w:rsidRPr="00BE28C4">
        <w:rPr>
          <w:szCs w:val="22"/>
        </w:rPr>
        <w:t xml:space="preserve"> </w:t>
      </w:r>
      <w:proofErr w:type="spellStart"/>
      <w:r w:rsidRPr="00BE28C4">
        <w:rPr>
          <w:szCs w:val="22"/>
        </w:rPr>
        <w:t>metoprololu</w:t>
      </w:r>
      <w:proofErr w:type="spellEnd"/>
      <w:r w:rsidRPr="00BE28C4">
        <w:rPr>
          <w:szCs w:val="22"/>
        </w:rPr>
        <w:t xml:space="preserve"> w stosunku do analogicznych wartości stwierdzanych przy stosowaniu samego </w:t>
      </w:r>
      <w:proofErr w:type="spellStart"/>
      <w:r w:rsidRPr="00BE28C4">
        <w:rPr>
          <w:szCs w:val="22"/>
        </w:rPr>
        <w:t>metoprololu</w:t>
      </w:r>
      <w:proofErr w:type="spellEnd"/>
      <w:r w:rsidRPr="00BE28C4">
        <w:rPr>
          <w:szCs w:val="22"/>
        </w:rPr>
        <w:t xml:space="preserve">. Podobne kliniczne interakcje </w:t>
      </w:r>
      <w:proofErr w:type="spellStart"/>
      <w:r w:rsidRPr="00BE28C4">
        <w:rPr>
          <w:szCs w:val="22"/>
        </w:rPr>
        <w:t>międzylekowe</w:t>
      </w:r>
      <w:proofErr w:type="spellEnd"/>
      <w:r w:rsidRPr="00BE28C4">
        <w:rPr>
          <w:szCs w:val="22"/>
        </w:rPr>
        <w:t xml:space="preserve"> </w:t>
      </w:r>
      <w:r w:rsidRPr="00BE28C4">
        <w:rPr>
          <w:szCs w:val="22"/>
        </w:rPr>
        <w:lastRenderedPageBreak/>
        <w:t xml:space="preserve">prowadzące do zwiększenia ekspozycji farmakokinetycznej na substraty izoenzymu CYP2D6 stwierdzono w przypadku stosowania </w:t>
      </w:r>
      <w:proofErr w:type="spellStart"/>
      <w:r w:rsidRPr="00BE28C4">
        <w:rPr>
          <w:szCs w:val="22"/>
        </w:rPr>
        <w:t>bupropionu</w:t>
      </w:r>
      <w:proofErr w:type="spellEnd"/>
      <w:r w:rsidRPr="00BE28C4">
        <w:rPr>
          <w:szCs w:val="22"/>
        </w:rPr>
        <w:t xml:space="preserve"> w postaci jednoskładnikowego produktu leczniczego w skojarzeniu z </w:t>
      </w:r>
      <w:proofErr w:type="spellStart"/>
      <w:r w:rsidRPr="00BE28C4">
        <w:rPr>
          <w:szCs w:val="22"/>
        </w:rPr>
        <w:t>dezypraminą</w:t>
      </w:r>
      <w:proofErr w:type="spellEnd"/>
      <w:r w:rsidRPr="00BE28C4">
        <w:rPr>
          <w:szCs w:val="22"/>
        </w:rPr>
        <w:t xml:space="preserve"> i </w:t>
      </w:r>
      <w:proofErr w:type="spellStart"/>
      <w:r w:rsidRPr="00BE28C4">
        <w:rPr>
          <w:szCs w:val="22"/>
        </w:rPr>
        <w:t>wenlafaksyną</w:t>
      </w:r>
      <w:proofErr w:type="spellEnd"/>
      <w:r w:rsidRPr="00BE28C4">
        <w:rPr>
          <w:szCs w:val="22"/>
        </w:rPr>
        <w:t>.</w:t>
      </w:r>
    </w:p>
    <w:p w14:paraId="3F3D1819" w14:textId="77777777" w:rsidR="004E3AC5" w:rsidRPr="00BE28C4" w:rsidRDefault="004E3AC5">
      <w:pPr>
        <w:spacing w:line="240" w:lineRule="auto"/>
        <w:rPr>
          <w:szCs w:val="22"/>
        </w:rPr>
      </w:pPr>
    </w:p>
    <w:p w14:paraId="25D25771" w14:textId="77777777" w:rsidR="004E3AC5" w:rsidRPr="00BE28C4" w:rsidRDefault="00907ADD">
      <w:pPr>
        <w:spacing w:line="240" w:lineRule="auto"/>
        <w:rPr>
          <w:szCs w:val="22"/>
        </w:rPr>
      </w:pPr>
      <w:r w:rsidRPr="00BE28C4">
        <w:rPr>
          <w:szCs w:val="22"/>
        </w:rPr>
        <w:t xml:space="preserve">Przy stosowaniu </w:t>
      </w:r>
      <w:proofErr w:type="spellStart"/>
      <w:r w:rsidRPr="00BE28C4">
        <w:rPr>
          <w:szCs w:val="22"/>
        </w:rPr>
        <w:t>bupropionu</w:t>
      </w:r>
      <w:proofErr w:type="spellEnd"/>
      <w:r w:rsidRPr="00BE28C4">
        <w:rPr>
          <w:szCs w:val="22"/>
        </w:rPr>
        <w:t xml:space="preserve"> z produktami leczniczymi metabolizowanymi przez izoenzym CYP2D6, w tym z niektórymi produktami leczniczymi przeciwdepresyjnymi (SSRI i wieloma trójpierścieniowymi produktami leczniczymi, np. </w:t>
      </w:r>
      <w:proofErr w:type="spellStart"/>
      <w:r w:rsidRPr="00BE28C4">
        <w:rPr>
          <w:szCs w:val="22"/>
        </w:rPr>
        <w:t>dezypraminą</w:t>
      </w:r>
      <w:proofErr w:type="spellEnd"/>
      <w:r w:rsidRPr="00BE28C4">
        <w:rPr>
          <w:szCs w:val="22"/>
        </w:rPr>
        <w:t xml:space="preserve">, imipraminą, </w:t>
      </w:r>
      <w:proofErr w:type="spellStart"/>
      <w:r w:rsidRPr="00BE28C4">
        <w:rPr>
          <w:szCs w:val="22"/>
        </w:rPr>
        <w:t>paroksetyną</w:t>
      </w:r>
      <w:proofErr w:type="spellEnd"/>
      <w:r w:rsidRPr="00BE28C4">
        <w:rPr>
          <w:szCs w:val="22"/>
        </w:rPr>
        <w:t xml:space="preserve">), produktami leczniczymi </w:t>
      </w:r>
      <w:proofErr w:type="spellStart"/>
      <w:r w:rsidRPr="00BE28C4">
        <w:rPr>
          <w:szCs w:val="22"/>
        </w:rPr>
        <w:t>przeciwpsychotycznymi</w:t>
      </w:r>
      <w:proofErr w:type="spellEnd"/>
      <w:r w:rsidRPr="00BE28C4">
        <w:rPr>
          <w:szCs w:val="22"/>
        </w:rPr>
        <w:t xml:space="preserve"> (np. </w:t>
      </w:r>
      <w:proofErr w:type="spellStart"/>
      <w:r w:rsidRPr="00BE28C4">
        <w:rPr>
          <w:szCs w:val="22"/>
        </w:rPr>
        <w:t>haloperydolem</w:t>
      </w:r>
      <w:proofErr w:type="spellEnd"/>
      <w:r w:rsidRPr="00BE28C4">
        <w:rPr>
          <w:szCs w:val="22"/>
        </w:rPr>
        <w:t xml:space="preserve">, </w:t>
      </w:r>
      <w:proofErr w:type="spellStart"/>
      <w:r w:rsidRPr="00BE28C4">
        <w:rPr>
          <w:szCs w:val="22"/>
        </w:rPr>
        <w:t>rysperydonem</w:t>
      </w:r>
      <w:proofErr w:type="spellEnd"/>
      <w:r w:rsidRPr="00BE28C4">
        <w:rPr>
          <w:szCs w:val="22"/>
        </w:rPr>
        <w:t xml:space="preserve"> i </w:t>
      </w:r>
      <w:proofErr w:type="spellStart"/>
      <w:r w:rsidRPr="00BE28C4">
        <w:rPr>
          <w:szCs w:val="22"/>
        </w:rPr>
        <w:t>tiorydazyną</w:t>
      </w:r>
      <w:proofErr w:type="spellEnd"/>
      <w:r w:rsidRPr="00BE28C4">
        <w:rPr>
          <w:szCs w:val="22"/>
        </w:rPr>
        <w:t>), lekami beta</w:t>
      </w:r>
      <w:r w:rsidRPr="00BE28C4">
        <w:rPr>
          <w:szCs w:val="22"/>
        </w:rPr>
        <w:noBreakHyphen/>
      </w:r>
      <w:proofErr w:type="spellStart"/>
      <w:r w:rsidRPr="00BE28C4">
        <w:rPr>
          <w:szCs w:val="22"/>
        </w:rPr>
        <w:t>adrenolitycznymi</w:t>
      </w:r>
      <w:proofErr w:type="spellEnd"/>
      <w:r w:rsidRPr="00BE28C4">
        <w:rPr>
          <w:szCs w:val="22"/>
        </w:rPr>
        <w:t xml:space="preserve"> (np. </w:t>
      </w:r>
      <w:proofErr w:type="spellStart"/>
      <w:r w:rsidRPr="00BE28C4">
        <w:rPr>
          <w:szCs w:val="22"/>
        </w:rPr>
        <w:t>metoprololem</w:t>
      </w:r>
      <w:proofErr w:type="spellEnd"/>
      <w:r w:rsidRPr="00BE28C4">
        <w:rPr>
          <w:szCs w:val="22"/>
        </w:rPr>
        <w:t xml:space="preserve">) i produktami leczniczymi </w:t>
      </w:r>
      <w:proofErr w:type="spellStart"/>
      <w:r w:rsidRPr="00BE28C4">
        <w:rPr>
          <w:szCs w:val="22"/>
        </w:rPr>
        <w:t>przeciwarytmicznymi</w:t>
      </w:r>
      <w:proofErr w:type="spellEnd"/>
      <w:r w:rsidRPr="00BE28C4">
        <w:rPr>
          <w:szCs w:val="22"/>
        </w:rPr>
        <w:t xml:space="preserve"> klasy 1C (np. </w:t>
      </w:r>
      <w:proofErr w:type="spellStart"/>
      <w:r w:rsidRPr="00BE28C4">
        <w:rPr>
          <w:szCs w:val="22"/>
        </w:rPr>
        <w:t>propafenonem</w:t>
      </w:r>
      <w:proofErr w:type="spellEnd"/>
      <w:r w:rsidRPr="00BE28C4">
        <w:rPr>
          <w:szCs w:val="22"/>
        </w:rPr>
        <w:t xml:space="preserve"> i </w:t>
      </w:r>
      <w:proofErr w:type="spellStart"/>
      <w:r w:rsidRPr="00BE28C4">
        <w:rPr>
          <w:szCs w:val="22"/>
        </w:rPr>
        <w:t>flekainamidem</w:t>
      </w:r>
      <w:proofErr w:type="spellEnd"/>
      <w:r w:rsidRPr="00BE28C4">
        <w:rPr>
          <w:szCs w:val="22"/>
        </w:rPr>
        <w:t xml:space="preserve">), należy zachować ostrożność, a podawanie drugiego produktu leczniczego należy rozpoczynać od dawki z dolnej części zakresu dawek leczniczych. Chociaż szlak izoenzymu CYP2D6 nie stanowi głównej drogi metabolizmu </w:t>
      </w:r>
      <w:proofErr w:type="spellStart"/>
      <w:r w:rsidRPr="00BE28C4">
        <w:rPr>
          <w:szCs w:val="22"/>
        </w:rPr>
        <w:t>cytalopramu</w:t>
      </w:r>
      <w:proofErr w:type="spellEnd"/>
      <w:r w:rsidRPr="00BE28C4">
        <w:rPr>
          <w:szCs w:val="22"/>
        </w:rPr>
        <w:t xml:space="preserve">, to w jednym z przeprowadzonych badań stwierdzono, że </w:t>
      </w:r>
      <w:proofErr w:type="spellStart"/>
      <w:r w:rsidRPr="00BE28C4">
        <w:rPr>
          <w:szCs w:val="22"/>
        </w:rPr>
        <w:t>bupropion</w:t>
      </w:r>
      <w:proofErr w:type="spellEnd"/>
      <w:r w:rsidRPr="00BE28C4">
        <w:rPr>
          <w:szCs w:val="22"/>
        </w:rPr>
        <w:t xml:space="preserve"> podwyższa wartość </w:t>
      </w:r>
      <w:proofErr w:type="spellStart"/>
      <w:r w:rsidRPr="00BE28C4">
        <w:rPr>
          <w:szCs w:val="22"/>
        </w:rPr>
        <w:t>C</w:t>
      </w:r>
      <w:r w:rsidRPr="00BE28C4">
        <w:rPr>
          <w:szCs w:val="22"/>
          <w:vertAlign w:val="subscript"/>
        </w:rPr>
        <w:t>max</w:t>
      </w:r>
      <w:proofErr w:type="spellEnd"/>
      <w:r w:rsidRPr="00BE28C4">
        <w:rPr>
          <w:szCs w:val="22"/>
        </w:rPr>
        <w:t xml:space="preserve"> </w:t>
      </w:r>
      <w:proofErr w:type="spellStart"/>
      <w:r w:rsidRPr="00BE28C4">
        <w:rPr>
          <w:szCs w:val="22"/>
        </w:rPr>
        <w:t>cytalopramu</w:t>
      </w:r>
      <w:proofErr w:type="spellEnd"/>
      <w:r w:rsidRPr="00BE28C4">
        <w:rPr>
          <w:szCs w:val="22"/>
        </w:rPr>
        <w:t xml:space="preserve"> o 30%, a wartość AUC dla </w:t>
      </w:r>
      <w:proofErr w:type="spellStart"/>
      <w:r w:rsidRPr="00BE28C4">
        <w:rPr>
          <w:szCs w:val="22"/>
        </w:rPr>
        <w:t>cytalopramu</w:t>
      </w:r>
      <w:proofErr w:type="spellEnd"/>
      <w:r w:rsidRPr="00BE28C4">
        <w:rPr>
          <w:szCs w:val="22"/>
        </w:rPr>
        <w:t xml:space="preserve"> o 40%. </w:t>
      </w:r>
    </w:p>
    <w:p w14:paraId="11715428" w14:textId="77777777" w:rsidR="004E3AC5" w:rsidRPr="00BE28C4" w:rsidRDefault="004E3AC5">
      <w:pPr>
        <w:spacing w:line="240" w:lineRule="auto"/>
        <w:rPr>
          <w:szCs w:val="22"/>
        </w:rPr>
      </w:pPr>
    </w:p>
    <w:p w14:paraId="43B64EA9" w14:textId="1C6E1809" w:rsidR="004E3AC5" w:rsidRPr="00BE28C4" w:rsidRDefault="00907ADD">
      <w:pPr>
        <w:spacing w:line="240" w:lineRule="auto"/>
        <w:rPr>
          <w:szCs w:val="22"/>
        </w:rPr>
      </w:pPr>
      <w:r w:rsidRPr="00BE28C4">
        <w:rPr>
          <w:szCs w:val="22"/>
        </w:rPr>
        <w:t xml:space="preserve">Po wprowadzeniu produktu do obrotu zgłaszano występowanie zespołu serotoninowego – stanu potencjalnie zagrażającego życiu – podczas jednoczesnego stosowania </w:t>
      </w:r>
      <w:proofErr w:type="spellStart"/>
      <w:r w:rsidRPr="00BE28C4">
        <w:rPr>
          <w:szCs w:val="22"/>
        </w:rPr>
        <w:t>naltreksonu</w:t>
      </w:r>
      <w:proofErr w:type="spellEnd"/>
      <w:r w:rsidRPr="00BE28C4">
        <w:rPr>
          <w:szCs w:val="22"/>
        </w:rPr>
        <w:t>/</w:t>
      </w:r>
      <w:proofErr w:type="spellStart"/>
      <w:r w:rsidRPr="00BE28C4">
        <w:rPr>
          <w:szCs w:val="22"/>
        </w:rPr>
        <w:t>bupropionu</w:t>
      </w:r>
      <w:proofErr w:type="spellEnd"/>
      <w:r w:rsidRPr="00BE28C4">
        <w:rPr>
          <w:szCs w:val="22"/>
        </w:rPr>
        <w:t xml:space="preserve"> z lekami o działaniu serotoninergicznym, takimi jak selektywne inhibitory wychwytu zwrotnego serotoniny (</w:t>
      </w:r>
      <w:proofErr w:type="spellStart"/>
      <w:r w:rsidRPr="00BE28C4">
        <w:rPr>
          <w:szCs w:val="22"/>
        </w:rPr>
        <w:t>Selective</w:t>
      </w:r>
      <w:proofErr w:type="spellEnd"/>
      <w:r w:rsidRPr="00BE28C4">
        <w:rPr>
          <w:szCs w:val="22"/>
        </w:rPr>
        <w:t xml:space="preserve"> Serotonin </w:t>
      </w:r>
      <w:proofErr w:type="spellStart"/>
      <w:r w:rsidRPr="00BE28C4">
        <w:rPr>
          <w:szCs w:val="22"/>
        </w:rPr>
        <w:t>Reuptake</w:t>
      </w:r>
      <w:proofErr w:type="spellEnd"/>
      <w:r w:rsidRPr="00BE28C4">
        <w:rPr>
          <w:szCs w:val="22"/>
        </w:rPr>
        <w:t xml:space="preserve"> Inhibitor, SSRI)</w:t>
      </w:r>
      <w:r w:rsidR="00892998" w:rsidRPr="00BE28C4">
        <w:rPr>
          <w:szCs w:val="22"/>
        </w:rPr>
        <w:t xml:space="preserve">, </w:t>
      </w:r>
      <w:r w:rsidRPr="00BE28C4">
        <w:rPr>
          <w:szCs w:val="22"/>
        </w:rPr>
        <w:t xml:space="preserve">inhibitory wychwytu zwrotnego serotoniny i noradrenaliny (Serotonin </w:t>
      </w:r>
      <w:proofErr w:type="spellStart"/>
      <w:r w:rsidRPr="00BE28C4">
        <w:rPr>
          <w:szCs w:val="22"/>
        </w:rPr>
        <w:t>Norepinephrine</w:t>
      </w:r>
      <w:proofErr w:type="spellEnd"/>
      <w:r w:rsidRPr="00BE28C4">
        <w:rPr>
          <w:szCs w:val="22"/>
        </w:rPr>
        <w:t xml:space="preserve"> </w:t>
      </w:r>
      <w:proofErr w:type="spellStart"/>
      <w:r w:rsidRPr="00BE28C4">
        <w:rPr>
          <w:szCs w:val="22"/>
        </w:rPr>
        <w:t>Reuptake</w:t>
      </w:r>
      <w:proofErr w:type="spellEnd"/>
      <w:r w:rsidRPr="00BE28C4">
        <w:rPr>
          <w:szCs w:val="22"/>
        </w:rPr>
        <w:t xml:space="preserve"> Inhibitor, SNRI) </w:t>
      </w:r>
      <w:r w:rsidR="008A1F1F" w:rsidRPr="00BE28C4">
        <w:rPr>
          <w:szCs w:val="22"/>
        </w:rPr>
        <w:t xml:space="preserve">i </w:t>
      </w:r>
      <w:proofErr w:type="spellStart"/>
      <w:r w:rsidR="008A1F1F" w:rsidRPr="00BE28C4">
        <w:rPr>
          <w:szCs w:val="22"/>
        </w:rPr>
        <w:t>opioidy</w:t>
      </w:r>
      <w:proofErr w:type="spellEnd"/>
      <w:r w:rsidR="008A1F1F" w:rsidRPr="00BE28C4">
        <w:rPr>
          <w:szCs w:val="22"/>
        </w:rPr>
        <w:t xml:space="preserve"> (np. </w:t>
      </w:r>
      <w:proofErr w:type="spellStart"/>
      <w:r w:rsidR="008A1F1F" w:rsidRPr="00BE28C4">
        <w:rPr>
          <w:szCs w:val="22"/>
        </w:rPr>
        <w:t>tramadol</w:t>
      </w:r>
      <w:proofErr w:type="spellEnd"/>
      <w:r w:rsidR="008A1F1F" w:rsidRPr="00BE28C4">
        <w:rPr>
          <w:szCs w:val="22"/>
        </w:rPr>
        <w:t xml:space="preserve">, metadon) </w:t>
      </w:r>
      <w:r w:rsidRPr="00BE28C4">
        <w:rPr>
          <w:szCs w:val="22"/>
        </w:rPr>
        <w:t>(patrz punkt</w:t>
      </w:r>
      <w:r w:rsidR="00892998" w:rsidRPr="00BE28C4">
        <w:rPr>
          <w:szCs w:val="22"/>
        </w:rPr>
        <w:t>y</w:t>
      </w:r>
      <w:r w:rsidRPr="00BE28C4">
        <w:rPr>
          <w:szCs w:val="22"/>
        </w:rPr>
        <w:t> 4.4 i 4.8).</w:t>
      </w:r>
    </w:p>
    <w:p w14:paraId="43F471DA" w14:textId="77777777" w:rsidR="004E3AC5" w:rsidRPr="00BE28C4" w:rsidRDefault="004E3AC5">
      <w:pPr>
        <w:spacing w:line="240" w:lineRule="auto"/>
        <w:rPr>
          <w:szCs w:val="22"/>
        </w:rPr>
      </w:pPr>
    </w:p>
    <w:p w14:paraId="13C0847A" w14:textId="77777777" w:rsidR="004E3AC5" w:rsidRPr="00BE28C4" w:rsidRDefault="00907ADD">
      <w:pPr>
        <w:spacing w:line="240" w:lineRule="auto"/>
        <w:rPr>
          <w:szCs w:val="22"/>
        </w:rPr>
      </w:pPr>
      <w:r w:rsidRPr="00BE28C4">
        <w:rPr>
          <w:szCs w:val="22"/>
        </w:rPr>
        <w:t>Substancje czynne, które dla ujawnienia swojego działania wymagają aktywacji metabolicznej przez izoenzym CYP2D6 (np. </w:t>
      </w:r>
      <w:proofErr w:type="spellStart"/>
      <w:r w:rsidRPr="00BE28C4">
        <w:rPr>
          <w:szCs w:val="22"/>
        </w:rPr>
        <w:t>tamoksyfen</w:t>
      </w:r>
      <w:proofErr w:type="spellEnd"/>
      <w:r w:rsidRPr="00BE28C4">
        <w:rPr>
          <w:szCs w:val="22"/>
        </w:rPr>
        <w:t>), mogą wykazywać obniżoną skuteczność, gdy podawane są w skojarzeniu z inhibitorami izoenzymu CYP2D6, np. z </w:t>
      </w:r>
      <w:proofErr w:type="spellStart"/>
      <w:r w:rsidRPr="00BE28C4">
        <w:rPr>
          <w:szCs w:val="22"/>
        </w:rPr>
        <w:t>bupropionem</w:t>
      </w:r>
      <w:proofErr w:type="spellEnd"/>
      <w:r w:rsidRPr="00BE28C4">
        <w:rPr>
          <w:szCs w:val="22"/>
        </w:rPr>
        <w:t xml:space="preserve">. Jeśli u pacjenta otrzymującego produkt leczniczy metabolizowany przez izoenzym CYP2D6 jest dodane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wówczas należy rozważyć czy nie jest konieczne obniżenie dawki pierwszego z tych dwóch produktów leczniczych, szczególnie, jeśli ma on wąski indeks terapeutyczny. W przypadku równoczesnego stosowania produktów leczniczych o wąskim indeksie terapeutycznym, np. trójpierścieniowych leków przeciwdepresyjnych, należy rozważyć kontrolowanie ich stężeń terapeutycznych, jeśli taka możliwość jest dostępna.</w:t>
      </w:r>
    </w:p>
    <w:p w14:paraId="5BA6EC59" w14:textId="77777777" w:rsidR="004E3AC5" w:rsidRPr="00BE28C4" w:rsidRDefault="004E3AC5">
      <w:pPr>
        <w:spacing w:line="240" w:lineRule="auto"/>
        <w:rPr>
          <w:szCs w:val="22"/>
        </w:rPr>
      </w:pPr>
    </w:p>
    <w:p w14:paraId="2DC5FCBB" w14:textId="77777777" w:rsidR="004E3AC5" w:rsidRPr="00BE28C4" w:rsidRDefault="00907ADD">
      <w:pPr>
        <w:keepNext/>
        <w:spacing w:line="240" w:lineRule="auto"/>
        <w:ind w:left="567" w:hanging="567"/>
        <w:rPr>
          <w:bCs/>
          <w:i/>
          <w:iCs/>
          <w:szCs w:val="22"/>
          <w:u w:val="single"/>
        </w:rPr>
      </w:pPr>
      <w:r w:rsidRPr="00BE28C4">
        <w:rPr>
          <w:i/>
          <w:szCs w:val="22"/>
          <w:u w:val="single"/>
        </w:rPr>
        <w:t>Induktory, inhibitory i substraty izoenzymu CYP2B6 </w:t>
      </w:r>
    </w:p>
    <w:p w14:paraId="1F7D6914" w14:textId="77777777" w:rsidR="004E3AC5" w:rsidRPr="00BE28C4" w:rsidRDefault="00907ADD">
      <w:pPr>
        <w:spacing w:line="240" w:lineRule="auto"/>
        <w:rPr>
          <w:bCs/>
          <w:iCs/>
          <w:szCs w:val="22"/>
        </w:rPr>
      </w:pPr>
      <w:proofErr w:type="spellStart"/>
      <w:r w:rsidRPr="00BE28C4">
        <w:rPr>
          <w:szCs w:val="22"/>
        </w:rPr>
        <w:t>Bupropion</w:t>
      </w:r>
      <w:proofErr w:type="spellEnd"/>
      <w:r w:rsidRPr="00BE28C4">
        <w:rPr>
          <w:szCs w:val="22"/>
        </w:rPr>
        <w:t xml:space="preserve"> jest metabolizowany do swojego głównego farmakologicznie czynnego metabolitu, </w:t>
      </w:r>
      <w:proofErr w:type="spellStart"/>
      <w:r w:rsidRPr="00BE28C4">
        <w:rPr>
          <w:szCs w:val="22"/>
        </w:rPr>
        <w:t>hydroksybupropionu</w:t>
      </w:r>
      <w:proofErr w:type="spellEnd"/>
      <w:r w:rsidRPr="00BE28C4">
        <w:rPr>
          <w:szCs w:val="22"/>
        </w:rPr>
        <w:t xml:space="preserve"> głównie przez izoenzym CYP2B6. Istnieje możliwość interakcji między skojarzeniem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a produktami leczniczymi, które indukują ekspresję izoenzymu CYP2B6, lub które są jego substratami. </w:t>
      </w:r>
    </w:p>
    <w:p w14:paraId="2934E142" w14:textId="77777777" w:rsidR="004E3AC5" w:rsidRPr="00BE28C4" w:rsidRDefault="004E3AC5">
      <w:pPr>
        <w:spacing w:line="240" w:lineRule="auto"/>
        <w:rPr>
          <w:bCs/>
          <w:iCs/>
          <w:szCs w:val="22"/>
        </w:rPr>
      </w:pPr>
    </w:p>
    <w:p w14:paraId="6CB27545" w14:textId="77777777" w:rsidR="004E3AC5" w:rsidRPr="00BE28C4" w:rsidRDefault="00907ADD">
      <w:pPr>
        <w:spacing w:line="240" w:lineRule="auto"/>
        <w:rPr>
          <w:bCs/>
          <w:iCs/>
          <w:szCs w:val="22"/>
        </w:rPr>
      </w:pPr>
      <w:r w:rsidRPr="00BE28C4">
        <w:rPr>
          <w:szCs w:val="22"/>
        </w:rPr>
        <w:t xml:space="preserve">Ponieważ znaczna część trafiającego do organizmu </w:t>
      </w:r>
      <w:proofErr w:type="spellStart"/>
      <w:r w:rsidRPr="00BE28C4">
        <w:rPr>
          <w:szCs w:val="22"/>
        </w:rPr>
        <w:t>bupropionu</w:t>
      </w:r>
      <w:proofErr w:type="spellEnd"/>
      <w:r w:rsidRPr="00BE28C4">
        <w:rPr>
          <w:szCs w:val="22"/>
        </w:rPr>
        <w:t xml:space="preserve"> ulega </w:t>
      </w:r>
      <w:proofErr w:type="spellStart"/>
      <w:r w:rsidRPr="00BE28C4">
        <w:rPr>
          <w:szCs w:val="22"/>
        </w:rPr>
        <w:t>zmetabolizowaniu</w:t>
      </w:r>
      <w:proofErr w:type="spellEnd"/>
      <w:r w:rsidRPr="00BE28C4">
        <w:rPr>
          <w:szCs w:val="22"/>
        </w:rPr>
        <w:t xml:space="preserve">, wskazane jest zachowanie ostrożności przy stosowaniu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z produktami leczniczymi zawierającymi substancje czynne, co do których wiadomo, że indukują ekspresję izoenzymu CYP2B6, (np. </w:t>
      </w:r>
      <w:proofErr w:type="spellStart"/>
      <w:r w:rsidRPr="00BE28C4">
        <w:rPr>
          <w:szCs w:val="22"/>
        </w:rPr>
        <w:t>karabamazepinę</w:t>
      </w:r>
      <w:proofErr w:type="spellEnd"/>
      <w:r w:rsidRPr="00BE28C4">
        <w:rPr>
          <w:szCs w:val="22"/>
        </w:rPr>
        <w:t xml:space="preserve">, fenytoinę, </w:t>
      </w:r>
      <w:proofErr w:type="spellStart"/>
      <w:r w:rsidRPr="00BE28C4">
        <w:rPr>
          <w:szCs w:val="22"/>
        </w:rPr>
        <w:t>rytonawir</w:t>
      </w:r>
      <w:proofErr w:type="spellEnd"/>
      <w:r w:rsidRPr="00BE28C4">
        <w:rPr>
          <w:szCs w:val="22"/>
        </w:rPr>
        <w:t xml:space="preserve">, </w:t>
      </w:r>
      <w:proofErr w:type="spellStart"/>
      <w:r w:rsidRPr="00BE28C4">
        <w:rPr>
          <w:szCs w:val="22"/>
        </w:rPr>
        <w:t>efawirenz</w:t>
      </w:r>
      <w:proofErr w:type="spellEnd"/>
      <w:r w:rsidRPr="00BE28C4">
        <w:rPr>
          <w:szCs w:val="22"/>
        </w:rPr>
        <w:t xml:space="preserve">), gdyż mogą one wpływać na skuteczność kliniczną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 serii badań z udziałem zdrowych ochotników stwierdzono, że </w:t>
      </w:r>
      <w:proofErr w:type="spellStart"/>
      <w:r w:rsidRPr="00BE28C4">
        <w:rPr>
          <w:szCs w:val="22"/>
        </w:rPr>
        <w:t>rytonawir</w:t>
      </w:r>
      <w:proofErr w:type="spellEnd"/>
      <w:r w:rsidRPr="00BE28C4">
        <w:rPr>
          <w:szCs w:val="22"/>
        </w:rPr>
        <w:t xml:space="preserve"> w dawce 100 mg dwa razy na dobę lub 600 mg dwa razy na dobę oraz </w:t>
      </w:r>
      <w:proofErr w:type="spellStart"/>
      <w:r w:rsidRPr="00BE28C4">
        <w:rPr>
          <w:szCs w:val="22"/>
        </w:rPr>
        <w:t>rytonawir</w:t>
      </w:r>
      <w:proofErr w:type="spellEnd"/>
      <w:r w:rsidRPr="00BE28C4">
        <w:rPr>
          <w:szCs w:val="22"/>
        </w:rPr>
        <w:t xml:space="preserve"> w dawce 100 mg w skojarzeniu z </w:t>
      </w:r>
      <w:proofErr w:type="spellStart"/>
      <w:r w:rsidRPr="00BE28C4">
        <w:rPr>
          <w:szCs w:val="22"/>
        </w:rPr>
        <w:t>lopinawirem</w:t>
      </w:r>
      <w:proofErr w:type="spellEnd"/>
      <w:r w:rsidRPr="00BE28C4">
        <w:rPr>
          <w:szCs w:val="22"/>
        </w:rPr>
        <w:t xml:space="preserve"> w dawce 400 mg dwa razy na dobę powoduje proporcjonalne do dawki zmniejszenie ekspozycji na </w:t>
      </w:r>
      <w:proofErr w:type="spellStart"/>
      <w:r w:rsidRPr="00BE28C4">
        <w:rPr>
          <w:szCs w:val="22"/>
        </w:rPr>
        <w:t>bupropion</w:t>
      </w:r>
      <w:proofErr w:type="spellEnd"/>
      <w:r w:rsidRPr="00BE28C4">
        <w:rPr>
          <w:szCs w:val="22"/>
        </w:rPr>
        <w:t xml:space="preserve"> i jego główne metabolity o 20% do 80%. Podobnie stosowany przez dwa tygodnie </w:t>
      </w:r>
      <w:proofErr w:type="spellStart"/>
      <w:r w:rsidRPr="00BE28C4">
        <w:rPr>
          <w:szCs w:val="22"/>
        </w:rPr>
        <w:t>efawirenz</w:t>
      </w:r>
      <w:proofErr w:type="spellEnd"/>
      <w:r w:rsidRPr="00BE28C4">
        <w:rPr>
          <w:szCs w:val="22"/>
        </w:rPr>
        <w:t xml:space="preserve"> w dawce 600 mg raz na dobę powodował u zdrowych ochotników zmniejszenie ekspozycji na </w:t>
      </w:r>
      <w:proofErr w:type="spellStart"/>
      <w:r w:rsidRPr="00BE28C4">
        <w:rPr>
          <w:szCs w:val="22"/>
        </w:rPr>
        <w:t>bupropion</w:t>
      </w:r>
      <w:proofErr w:type="spellEnd"/>
      <w:r w:rsidRPr="00BE28C4">
        <w:rPr>
          <w:szCs w:val="22"/>
        </w:rPr>
        <w:t xml:space="preserve"> o około 55%.</w:t>
      </w:r>
    </w:p>
    <w:p w14:paraId="1549BF2C" w14:textId="77777777" w:rsidR="004E3AC5" w:rsidRPr="00BE28C4" w:rsidRDefault="004E3AC5">
      <w:pPr>
        <w:spacing w:line="240" w:lineRule="auto"/>
        <w:rPr>
          <w:bCs/>
          <w:iCs/>
          <w:szCs w:val="22"/>
        </w:rPr>
      </w:pPr>
    </w:p>
    <w:p w14:paraId="4937AC10" w14:textId="77777777" w:rsidR="004E3AC5" w:rsidRPr="00BE28C4" w:rsidRDefault="00907ADD">
      <w:pPr>
        <w:spacing w:line="240" w:lineRule="auto"/>
        <w:rPr>
          <w:szCs w:val="22"/>
        </w:rPr>
      </w:pPr>
      <w:r w:rsidRPr="00BE28C4">
        <w:rPr>
          <w:szCs w:val="22"/>
        </w:rPr>
        <w:t xml:space="preserve">Podawanie z </w:t>
      </w:r>
      <w:proofErr w:type="spellStart"/>
      <w:r w:rsidRPr="00BE28C4">
        <w:rPr>
          <w:szCs w:val="22"/>
        </w:rPr>
        <w:t>bupropionem</w:t>
      </w:r>
      <w:proofErr w:type="spellEnd"/>
      <w:r w:rsidRPr="00BE28C4">
        <w:rPr>
          <w:szCs w:val="22"/>
        </w:rPr>
        <w:t xml:space="preserve"> produktów leczniczych zawierających substancje czynne mogące hamować metabolizm </w:t>
      </w:r>
      <w:proofErr w:type="spellStart"/>
      <w:r w:rsidRPr="00BE28C4">
        <w:rPr>
          <w:szCs w:val="22"/>
        </w:rPr>
        <w:t>bupropionu</w:t>
      </w:r>
      <w:proofErr w:type="spellEnd"/>
      <w:r w:rsidRPr="00BE28C4">
        <w:rPr>
          <w:szCs w:val="22"/>
        </w:rPr>
        <w:t xml:space="preserve"> szlakiem izoenzymu CYP2B6 (np. substratów izoenzymu CYP2B6 — </w:t>
      </w:r>
      <w:proofErr w:type="spellStart"/>
      <w:r w:rsidRPr="00BE28C4">
        <w:rPr>
          <w:szCs w:val="22"/>
        </w:rPr>
        <w:t>cyklofosfamidu</w:t>
      </w:r>
      <w:proofErr w:type="spellEnd"/>
      <w:r w:rsidRPr="00BE28C4">
        <w:rPr>
          <w:szCs w:val="22"/>
        </w:rPr>
        <w:t xml:space="preserve">, </w:t>
      </w:r>
      <w:proofErr w:type="spellStart"/>
      <w:r w:rsidRPr="00BE28C4">
        <w:rPr>
          <w:szCs w:val="22"/>
        </w:rPr>
        <w:t>ifosfamidu</w:t>
      </w:r>
      <w:proofErr w:type="spellEnd"/>
      <w:r w:rsidRPr="00BE28C4">
        <w:rPr>
          <w:szCs w:val="22"/>
        </w:rPr>
        <w:t xml:space="preserve"> oraz inhibitorów izoenzymu CYP2B6 — </w:t>
      </w:r>
      <w:proofErr w:type="spellStart"/>
      <w:r w:rsidRPr="00BE28C4">
        <w:rPr>
          <w:szCs w:val="22"/>
        </w:rPr>
        <w:t>orfenadryny</w:t>
      </w:r>
      <w:proofErr w:type="spellEnd"/>
      <w:r w:rsidRPr="00BE28C4">
        <w:rPr>
          <w:szCs w:val="22"/>
        </w:rPr>
        <w:t xml:space="preserve">, </w:t>
      </w:r>
      <w:proofErr w:type="spellStart"/>
      <w:r w:rsidRPr="00BE28C4">
        <w:rPr>
          <w:szCs w:val="22"/>
        </w:rPr>
        <w:t>tyklopidyny</w:t>
      </w:r>
      <w:proofErr w:type="spellEnd"/>
      <w:r w:rsidRPr="00BE28C4">
        <w:rPr>
          <w:szCs w:val="22"/>
        </w:rPr>
        <w:t xml:space="preserve">, </w:t>
      </w:r>
      <w:proofErr w:type="spellStart"/>
      <w:r w:rsidRPr="00BE28C4">
        <w:rPr>
          <w:szCs w:val="22"/>
        </w:rPr>
        <w:t>klopidogrelu</w:t>
      </w:r>
      <w:proofErr w:type="spellEnd"/>
      <w:r w:rsidRPr="00BE28C4">
        <w:rPr>
          <w:szCs w:val="22"/>
        </w:rPr>
        <w:t xml:space="preserve">) może prowadzić do wzrostu stężenia </w:t>
      </w:r>
      <w:proofErr w:type="spellStart"/>
      <w:r w:rsidRPr="00BE28C4">
        <w:rPr>
          <w:szCs w:val="22"/>
        </w:rPr>
        <w:t>bupropionu</w:t>
      </w:r>
      <w:proofErr w:type="spellEnd"/>
      <w:r w:rsidRPr="00BE28C4">
        <w:rPr>
          <w:szCs w:val="22"/>
        </w:rPr>
        <w:t xml:space="preserve"> w osoczu i zmniejszenia stężenia jego farmakologicznie czynnego metabolitu </w:t>
      </w:r>
      <w:proofErr w:type="spellStart"/>
      <w:r w:rsidRPr="00BE28C4">
        <w:rPr>
          <w:szCs w:val="22"/>
        </w:rPr>
        <w:t>hydroksybupropionu</w:t>
      </w:r>
      <w:proofErr w:type="spellEnd"/>
      <w:r w:rsidRPr="00BE28C4">
        <w:rPr>
          <w:szCs w:val="22"/>
        </w:rPr>
        <w:t xml:space="preserve">. Obecnie nie są znane kliniczne konsekwencje zahamowania metabolizmu </w:t>
      </w:r>
      <w:proofErr w:type="spellStart"/>
      <w:r w:rsidRPr="00BE28C4">
        <w:rPr>
          <w:szCs w:val="22"/>
        </w:rPr>
        <w:t>bupropionu</w:t>
      </w:r>
      <w:proofErr w:type="spellEnd"/>
      <w:r w:rsidRPr="00BE28C4">
        <w:rPr>
          <w:szCs w:val="22"/>
        </w:rPr>
        <w:t xml:space="preserve"> odbywającego się szlakiem izoenzymu CYP2B6 ani wynikającej z tego zmiany stosunku stężeń </w:t>
      </w:r>
      <w:proofErr w:type="spellStart"/>
      <w:r w:rsidRPr="00BE28C4">
        <w:rPr>
          <w:szCs w:val="22"/>
        </w:rPr>
        <w:t>bupropionu</w:t>
      </w:r>
      <w:proofErr w:type="spellEnd"/>
      <w:r w:rsidRPr="00BE28C4">
        <w:rPr>
          <w:szCs w:val="22"/>
        </w:rPr>
        <w:t xml:space="preserve"> do </w:t>
      </w:r>
      <w:proofErr w:type="spellStart"/>
      <w:r w:rsidRPr="00BE28C4">
        <w:rPr>
          <w:szCs w:val="22"/>
        </w:rPr>
        <w:t>hydroksybupropionu</w:t>
      </w:r>
      <w:proofErr w:type="spellEnd"/>
      <w:r w:rsidRPr="00BE28C4">
        <w:rPr>
          <w:szCs w:val="22"/>
        </w:rPr>
        <w:t xml:space="preserve">, ale </w:t>
      </w:r>
      <w:r w:rsidRPr="00BE28C4">
        <w:rPr>
          <w:szCs w:val="22"/>
        </w:rPr>
        <w:lastRenderedPageBreak/>
        <w:t xml:space="preserve">nie można wykluczyć, że konsekwencjami tymi może być zmniejszenie skuteczności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w:t>
      </w:r>
    </w:p>
    <w:p w14:paraId="77D0BAAD" w14:textId="77777777" w:rsidR="004E3AC5" w:rsidRPr="00BE28C4" w:rsidRDefault="004E3AC5">
      <w:pPr>
        <w:spacing w:line="240" w:lineRule="auto"/>
        <w:rPr>
          <w:bCs/>
          <w:iCs/>
          <w:szCs w:val="22"/>
        </w:rPr>
      </w:pPr>
    </w:p>
    <w:p w14:paraId="1D966906" w14:textId="77777777" w:rsidR="004E3AC5" w:rsidRPr="00BE28C4" w:rsidRDefault="00907ADD">
      <w:pPr>
        <w:spacing w:line="240" w:lineRule="auto"/>
        <w:rPr>
          <w:szCs w:val="22"/>
          <w:u w:val="single"/>
        </w:rPr>
      </w:pPr>
      <w:r w:rsidRPr="00BE28C4">
        <w:rPr>
          <w:szCs w:val="22"/>
          <w:u w:val="single"/>
        </w:rPr>
        <w:t>Substraty transportera OCT2</w:t>
      </w:r>
    </w:p>
    <w:p w14:paraId="2E47CD7E" w14:textId="77777777" w:rsidR="004E3AC5" w:rsidRPr="00BE28C4" w:rsidRDefault="00907ADD">
      <w:pPr>
        <w:spacing w:line="240" w:lineRule="auto"/>
        <w:rPr>
          <w:szCs w:val="22"/>
        </w:rPr>
      </w:pPr>
      <w:proofErr w:type="spellStart"/>
      <w:r w:rsidRPr="00BE28C4">
        <w:rPr>
          <w:szCs w:val="22"/>
        </w:rPr>
        <w:t>Bupropion</w:t>
      </w:r>
      <w:proofErr w:type="spellEnd"/>
      <w:r w:rsidRPr="00BE28C4">
        <w:rPr>
          <w:szCs w:val="22"/>
        </w:rPr>
        <w:t xml:space="preserve"> i jego metabolity, w sposób podobny do </w:t>
      </w:r>
      <w:proofErr w:type="spellStart"/>
      <w:r w:rsidRPr="00BE28C4">
        <w:rPr>
          <w:szCs w:val="22"/>
        </w:rPr>
        <w:t>cymetydyny</w:t>
      </w:r>
      <w:proofErr w:type="spellEnd"/>
      <w:r w:rsidRPr="00BE28C4">
        <w:rPr>
          <w:szCs w:val="22"/>
        </w:rPr>
        <w:t xml:space="preserve"> – substratu OCT2, hamują </w:t>
      </w:r>
      <w:proofErr w:type="spellStart"/>
      <w:r w:rsidRPr="00BE28C4">
        <w:rPr>
          <w:szCs w:val="22"/>
        </w:rPr>
        <w:t>kompetycyjnie</w:t>
      </w:r>
      <w:proofErr w:type="spellEnd"/>
      <w:r w:rsidRPr="00BE28C4">
        <w:rPr>
          <w:szCs w:val="22"/>
        </w:rPr>
        <w:t xml:space="preserve"> działanie transportera OCT2, zlokalizowanego w błonie podstawnej kanalika nerkowego, odpowiedzialnego za wydzielanie kreatyniny. Dlatego niewielki wzrost stężenia kreatyniny w surowicy, obserwowany po długotrwałym stosowaniu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jest prawdopodobnie spowodowany hamowaniem działania transportera OCT2 i nie wskazuje na zmniejszenie </w:t>
      </w:r>
      <w:proofErr w:type="spellStart"/>
      <w:r w:rsidRPr="00BE28C4">
        <w:rPr>
          <w:szCs w:val="22"/>
        </w:rPr>
        <w:t>klirensu</w:t>
      </w:r>
      <w:proofErr w:type="spellEnd"/>
      <w:r w:rsidRPr="00BE28C4">
        <w:rPr>
          <w:szCs w:val="22"/>
        </w:rPr>
        <w:t xml:space="preserve"> kreatyniny. Stosowanie w badaniach klinicznych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łącznie z innymi substratami transportera OCT2 (np. </w:t>
      </w:r>
      <w:proofErr w:type="spellStart"/>
      <w:r w:rsidRPr="00BE28C4">
        <w:rPr>
          <w:szCs w:val="22"/>
        </w:rPr>
        <w:t>metforminą</w:t>
      </w:r>
      <w:proofErr w:type="spellEnd"/>
      <w:r w:rsidRPr="00BE28C4">
        <w:rPr>
          <w:szCs w:val="22"/>
        </w:rPr>
        <w:t>) nie wiązało się z koniecznością dostosowania dawki lub podejmowania innych środków ostrożności.</w:t>
      </w:r>
    </w:p>
    <w:p w14:paraId="13A32B19" w14:textId="77777777" w:rsidR="004E3AC5" w:rsidRPr="00BE28C4" w:rsidRDefault="004E3AC5">
      <w:pPr>
        <w:spacing w:line="240" w:lineRule="auto"/>
        <w:rPr>
          <w:szCs w:val="22"/>
        </w:rPr>
      </w:pPr>
    </w:p>
    <w:p w14:paraId="75B92D21" w14:textId="77777777" w:rsidR="004E3AC5" w:rsidRPr="00BE28C4" w:rsidRDefault="00907ADD">
      <w:pPr>
        <w:spacing w:line="240" w:lineRule="auto"/>
        <w:rPr>
          <w:szCs w:val="22"/>
          <w:u w:val="single"/>
        </w:rPr>
      </w:pPr>
      <w:r w:rsidRPr="00BE28C4">
        <w:rPr>
          <w:szCs w:val="22"/>
          <w:u w:val="single"/>
        </w:rPr>
        <w:t>Inne interakcje</w:t>
      </w:r>
    </w:p>
    <w:p w14:paraId="5C053D07" w14:textId="77777777" w:rsidR="004E3AC5" w:rsidRPr="00BE28C4" w:rsidRDefault="00907ADD">
      <w:pPr>
        <w:spacing w:line="240" w:lineRule="auto"/>
        <w:rPr>
          <w:szCs w:val="22"/>
        </w:rPr>
      </w:pPr>
      <w:r w:rsidRPr="00BE28C4">
        <w:rPr>
          <w:szCs w:val="22"/>
        </w:rPr>
        <w:t xml:space="preserve">Chociaż dane kliniczne nie wskazują na interakcje farmakokinetyczne między </w:t>
      </w:r>
      <w:proofErr w:type="spellStart"/>
      <w:r w:rsidRPr="00BE28C4">
        <w:rPr>
          <w:szCs w:val="22"/>
        </w:rPr>
        <w:t>bupropionem</w:t>
      </w:r>
      <w:proofErr w:type="spellEnd"/>
      <w:r w:rsidRPr="00BE28C4">
        <w:rPr>
          <w:szCs w:val="22"/>
        </w:rPr>
        <w:t xml:space="preserve"> a alkoholem, to u pacjentów pijących alkohol w trakcie leczenia </w:t>
      </w:r>
      <w:proofErr w:type="spellStart"/>
      <w:r w:rsidRPr="00BE28C4">
        <w:rPr>
          <w:szCs w:val="22"/>
        </w:rPr>
        <w:t>bupropionem</w:t>
      </w:r>
      <w:proofErr w:type="spellEnd"/>
      <w:r w:rsidRPr="00BE28C4">
        <w:rPr>
          <w:szCs w:val="22"/>
        </w:rPr>
        <w:t xml:space="preserve"> opisywano rzadkie występowanie neuropsychiatrycznych zdarzeń niepożądanych lub zmniejszoną tolerancję alkoholu. Nie są znane żadne farmakokinetyczne interakcje </w:t>
      </w:r>
      <w:proofErr w:type="spellStart"/>
      <w:r w:rsidRPr="00BE28C4">
        <w:rPr>
          <w:szCs w:val="22"/>
        </w:rPr>
        <w:t>naltreksonu</w:t>
      </w:r>
      <w:proofErr w:type="spellEnd"/>
      <w:r w:rsidRPr="00BE28C4">
        <w:rPr>
          <w:szCs w:val="22"/>
        </w:rPr>
        <w:t xml:space="preserve"> z alkoholem. Podczas leczenia skojarzeniem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spożycie alkoholu należy ograniczyć do minimum bądź całkowicie z niego zrezygnować.</w:t>
      </w:r>
    </w:p>
    <w:p w14:paraId="50032110" w14:textId="77777777" w:rsidR="004E3AC5" w:rsidRPr="00BE28C4" w:rsidRDefault="004E3AC5">
      <w:pPr>
        <w:spacing w:line="240" w:lineRule="auto"/>
        <w:rPr>
          <w:szCs w:val="22"/>
        </w:rPr>
      </w:pPr>
    </w:p>
    <w:p w14:paraId="231855C1" w14:textId="77777777" w:rsidR="004E3AC5" w:rsidRPr="00BE28C4" w:rsidRDefault="00907ADD">
      <w:pPr>
        <w:spacing w:line="240" w:lineRule="auto"/>
        <w:rPr>
          <w:szCs w:val="22"/>
        </w:rPr>
      </w:pPr>
      <w:r w:rsidRPr="00BE28C4">
        <w:rPr>
          <w:szCs w:val="22"/>
        </w:rPr>
        <w:t xml:space="preserve">Należy zachować ostrożność przepisując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pacjentom, u których występują czynniki predysponujące do występowania napadów drgawkowych, w tym:</w:t>
      </w:r>
    </w:p>
    <w:p w14:paraId="779E9903" w14:textId="77777777" w:rsidR="004E3AC5" w:rsidRPr="00BE28C4" w:rsidRDefault="00907ADD">
      <w:pPr>
        <w:numPr>
          <w:ilvl w:val="0"/>
          <w:numId w:val="8"/>
        </w:numPr>
        <w:tabs>
          <w:tab w:val="clear" w:pos="567"/>
        </w:tabs>
        <w:spacing w:line="240" w:lineRule="auto"/>
        <w:ind w:left="567" w:hanging="567"/>
        <w:rPr>
          <w:szCs w:val="22"/>
        </w:rPr>
      </w:pPr>
      <w:r w:rsidRPr="00BE28C4">
        <w:rPr>
          <w:szCs w:val="22"/>
        </w:rPr>
        <w:t xml:space="preserve">Cukrzyca. Ponieważ u chorych na cukrzycę stosowanie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może prowadzić do obniżenia stężenia glukozy we krwi, dawkowanie insuliny i (lub) doustnych przeciwcukrzycowych produktów leczniczych należy u tych chorych zweryfikować w celu zminimalizowania ryzyka hipoglikemii, która może predysponować do napadów drgawkowych;</w:t>
      </w:r>
    </w:p>
    <w:p w14:paraId="1A61085F" w14:textId="77777777" w:rsidR="004E3AC5" w:rsidRPr="00BE28C4" w:rsidRDefault="00907ADD">
      <w:pPr>
        <w:numPr>
          <w:ilvl w:val="0"/>
          <w:numId w:val="8"/>
        </w:numPr>
        <w:tabs>
          <w:tab w:val="clear" w:pos="567"/>
        </w:tabs>
        <w:spacing w:line="240" w:lineRule="auto"/>
        <w:ind w:left="567" w:hanging="567"/>
        <w:rPr>
          <w:szCs w:val="22"/>
        </w:rPr>
      </w:pPr>
      <w:r w:rsidRPr="00BE28C4">
        <w:rPr>
          <w:szCs w:val="22"/>
        </w:rPr>
        <w:t xml:space="preserve">Jednoczesne stosowanie innych produktów leczniczych mogących obniżać próg drgawkowy, </w:t>
      </w:r>
      <w:r w:rsidRPr="00BE28C4">
        <w:rPr>
          <w:szCs w:val="22"/>
        </w:rPr>
        <w:br/>
        <w:t xml:space="preserve">w tym </w:t>
      </w:r>
      <w:proofErr w:type="spellStart"/>
      <w:r w:rsidRPr="00BE28C4">
        <w:rPr>
          <w:szCs w:val="22"/>
        </w:rPr>
        <w:t>przeciwpsychotycznych</w:t>
      </w:r>
      <w:proofErr w:type="spellEnd"/>
      <w:r w:rsidRPr="00BE28C4">
        <w:rPr>
          <w:szCs w:val="22"/>
        </w:rPr>
        <w:t xml:space="preserve"> produktów leczniczych, przeciwdepresyjnych produktów leczniczych, przeciwmalarycznych produktów leczniczych, </w:t>
      </w:r>
      <w:proofErr w:type="spellStart"/>
      <w:r w:rsidRPr="00BE28C4">
        <w:rPr>
          <w:szCs w:val="22"/>
        </w:rPr>
        <w:t>tramadolu</w:t>
      </w:r>
      <w:proofErr w:type="spellEnd"/>
      <w:r w:rsidRPr="00BE28C4">
        <w:rPr>
          <w:szCs w:val="22"/>
        </w:rPr>
        <w:t xml:space="preserve">, teofiliny, </w:t>
      </w:r>
      <w:proofErr w:type="spellStart"/>
      <w:r w:rsidRPr="00BE28C4">
        <w:rPr>
          <w:szCs w:val="22"/>
        </w:rPr>
        <w:t>glikokortykosteroidów</w:t>
      </w:r>
      <w:proofErr w:type="spellEnd"/>
      <w:r w:rsidRPr="00BE28C4">
        <w:rPr>
          <w:szCs w:val="22"/>
        </w:rPr>
        <w:t xml:space="preserve"> podawanych ogólnoustrojowo, </w:t>
      </w:r>
      <w:proofErr w:type="spellStart"/>
      <w:r w:rsidRPr="00BE28C4">
        <w:rPr>
          <w:szCs w:val="22"/>
        </w:rPr>
        <w:t>chinolonów</w:t>
      </w:r>
      <w:proofErr w:type="spellEnd"/>
      <w:r w:rsidRPr="00BE28C4">
        <w:rPr>
          <w:szCs w:val="22"/>
        </w:rPr>
        <w:t xml:space="preserve"> oraz przeciwhistaminowych produktów leczniczych o działaniu </w:t>
      </w:r>
      <w:proofErr w:type="spellStart"/>
      <w:r w:rsidRPr="00BE28C4">
        <w:rPr>
          <w:szCs w:val="22"/>
        </w:rPr>
        <w:t>sedacyjnym</w:t>
      </w:r>
      <w:proofErr w:type="spellEnd"/>
      <w:r w:rsidRPr="00BE28C4">
        <w:rPr>
          <w:szCs w:val="22"/>
        </w:rPr>
        <w:t xml:space="preserve">. </w:t>
      </w:r>
    </w:p>
    <w:p w14:paraId="178AD6CB" w14:textId="77777777" w:rsidR="004E3AC5" w:rsidRPr="00BE28C4" w:rsidRDefault="004E3AC5">
      <w:pPr>
        <w:spacing w:line="240" w:lineRule="auto"/>
        <w:rPr>
          <w:szCs w:val="22"/>
        </w:rPr>
      </w:pPr>
    </w:p>
    <w:p w14:paraId="445ED8A7" w14:textId="0953EC9F" w:rsidR="004E3AC5" w:rsidRPr="00BE28C4" w:rsidRDefault="00907ADD">
      <w:pPr>
        <w:spacing w:line="240" w:lineRule="auto"/>
        <w:rPr>
          <w:szCs w:val="22"/>
        </w:rPr>
      </w:pPr>
      <w:r w:rsidRPr="00BE28C4">
        <w:rPr>
          <w:szCs w:val="22"/>
        </w:rPr>
        <w:t xml:space="preserve">Stosowanie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jest przeciwwskazane u pacjentów przyjmujących jednocześnie inhibitory monoaminooksydazy, </w:t>
      </w:r>
      <w:proofErr w:type="spellStart"/>
      <w:r w:rsidRPr="00BE28C4">
        <w:rPr>
          <w:szCs w:val="22"/>
        </w:rPr>
        <w:t>bupropion</w:t>
      </w:r>
      <w:proofErr w:type="spellEnd"/>
      <w:r w:rsidRPr="00BE28C4">
        <w:rPr>
          <w:szCs w:val="22"/>
        </w:rPr>
        <w:t xml:space="preserve"> lub </w:t>
      </w:r>
      <w:proofErr w:type="spellStart"/>
      <w:r w:rsidRPr="00BE28C4">
        <w:rPr>
          <w:szCs w:val="22"/>
        </w:rPr>
        <w:t>naltrekson</w:t>
      </w:r>
      <w:proofErr w:type="spellEnd"/>
      <w:r w:rsidRPr="00BE28C4">
        <w:rPr>
          <w:szCs w:val="22"/>
        </w:rPr>
        <w:t>, w okresie bezpośrednio po nagłym odstawieniu alkoholu</w:t>
      </w:r>
      <w:r w:rsidR="008A1F1F" w:rsidRPr="00BE28C4">
        <w:rPr>
          <w:szCs w:val="22"/>
        </w:rPr>
        <w:t xml:space="preserve">, </w:t>
      </w:r>
      <w:proofErr w:type="spellStart"/>
      <w:r w:rsidR="008A1F1F" w:rsidRPr="00BE28C4">
        <w:rPr>
          <w:szCs w:val="22"/>
        </w:rPr>
        <w:t>opioidów</w:t>
      </w:r>
      <w:proofErr w:type="spellEnd"/>
      <w:r w:rsidRPr="00BE28C4">
        <w:rPr>
          <w:szCs w:val="22"/>
        </w:rPr>
        <w:t xml:space="preserve"> lub </w:t>
      </w:r>
      <w:proofErr w:type="spellStart"/>
      <w:r w:rsidRPr="00BE28C4">
        <w:rPr>
          <w:szCs w:val="22"/>
        </w:rPr>
        <w:t>benzodiazepin</w:t>
      </w:r>
      <w:proofErr w:type="spellEnd"/>
      <w:r w:rsidRPr="00BE28C4">
        <w:rPr>
          <w:szCs w:val="22"/>
        </w:rPr>
        <w:t xml:space="preserve"> u osób uzależnionych</w:t>
      </w:r>
      <w:r w:rsidR="008A1F1F" w:rsidRPr="00BE28C4">
        <w:rPr>
          <w:szCs w:val="22"/>
        </w:rPr>
        <w:t xml:space="preserve"> od </w:t>
      </w:r>
      <w:proofErr w:type="spellStart"/>
      <w:r w:rsidR="008A1F1F" w:rsidRPr="00BE28C4">
        <w:rPr>
          <w:szCs w:val="22"/>
        </w:rPr>
        <w:t>opioidów</w:t>
      </w:r>
      <w:proofErr w:type="spellEnd"/>
      <w:r w:rsidRPr="00BE28C4">
        <w:rPr>
          <w:szCs w:val="22"/>
        </w:rPr>
        <w:t xml:space="preserve"> (patrz punkt 4.3).</w:t>
      </w:r>
    </w:p>
    <w:p w14:paraId="05AA4D46" w14:textId="77777777" w:rsidR="004E3AC5" w:rsidRPr="00BE28C4" w:rsidRDefault="004E3AC5">
      <w:pPr>
        <w:spacing w:line="240" w:lineRule="auto"/>
        <w:rPr>
          <w:szCs w:val="22"/>
        </w:rPr>
      </w:pPr>
    </w:p>
    <w:p w14:paraId="7163184B" w14:textId="77777777" w:rsidR="004E3AC5" w:rsidRPr="00BE28C4" w:rsidRDefault="00907ADD">
      <w:pPr>
        <w:spacing w:line="240" w:lineRule="auto"/>
        <w:rPr>
          <w:szCs w:val="22"/>
        </w:rPr>
      </w:pPr>
      <w:r w:rsidRPr="00BE28C4">
        <w:rPr>
          <w:szCs w:val="22"/>
        </w:rPr>
        <w:t xml:space="preserve">Przy podawaniu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pacjentom otrzymującym jednocześnie </w:t>
      </w:r>
      <w:proofErr w:type="spellStart"/>
      <w:r w:rsidRPr="00BE28C4">
        <w:rPr>
          <w:szCs w:val="22"/>
        </w:rPr>
        <w:t>lewodopę</w:t>
      </w:r>
      <w:proofErr w:type="spellEnd"/>
      <w:r w:rsidRPr="00BE28C4">
        <w:rPr>
          <w:szCs w:val="22"/>
        </w:rPr>
        <w:t xml:space="preserve"> lub amantadynę należy zachować ostrożność. Ograniczone dane kliniczne sugerują większą częstość występowania działań niepożądanych (np. nudności, wymiotów i neuropsychiatrycznych działań niepożądanych — patrz punkt 4.8) u pacjentów otrzymujących </w:t>
      </w:r>
      <w:proofErr w:type="spellStart"/>
      <w:r w:rsidRPr="00BE28C4">
        <w:rPr>
          <w:szCs w:val="22"/>
        </w:rPr>
        <w:t>bupropion</w:t>
      </w:r>
      <w:proofErr w:type="spellEnd"/>
      <w:r w:rsidRPr="00BE28C4">
        <w:rPr>
          <w:szCs w:val="22"/>
        </w:rPr>
        <w:t xml:space="preserve"> jednocześnie z </w:t>
      </w:r>
      <w:proofErr w:type="spellStart"/>
      <w:r w:rsidRPr="00BE28C4">
        <w:rPr>
          <w:szCs w:val="22"/>
        </w:rPr>
        <w:t>lewodopą</w:t>
      </w:r>
      <w:proofErr w:type="spellEnd"/>
      <w:r w:rsidRPr="00BE28C4">
        <w:rPr>
          <w:szCs w:val="22"/>
        </w:rPr>
        <w:t xml:space="preserve"> lub amantadyną.</w:t>
      </w:r>
    </w:p>
    <w:p w14:paraId="01A7F959" w14:textId="77777777" w:rsidR="004E3AC5" w:rsidRPr="00BE28C4" w:rsidRDefault="004E3AC5">
      <w:pPr>
        <w:spacing w:line="240" w:lineRule="auto"/>
        <w:rPr>
          <w:szCs w:val="22"/>
        </w:rPr>
      </w:pPr>
    </w:p>
    <w:p w14:paraId="241587CD" w14:textId="77777777" w:rsidR="004E3AC5" w:rsidRPr="00BE28C4" w:rsidRDefault="00907ADD">
      <w:pPr>
        <w:spacing w:line="240" w:lineRule="auto"/>
        <w:rPr>
          <w:szCs w:val="22"/>
        </w:rPr>
      </w:pPr>
      <w:r w:rsidRPr="00BE28C4">
        <w:rPr>
          <w:szCs w:val="22"/>
        </w:rPr>
        <w:t xml:space="preserve">Przy stosowaniu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z inhibitorami lub induktorami UGT 1A2 i 2B7 należy zachować ostrożność, gdyż mogą one wpływać na ekspozycję na </w:t>
      </w:r>
      <w:proofErr w:type="spellStart"/>
      <w:r w:rsidRPr="00BE28C4">
        <w:rPr>
          <w:szCs w:val="22"/>
        </w:rPr>
        <w:t>naltrekson</w:t>
      </w:r>
      <w:proofErr w:type="spellEnd"/>
      <w:r w:rsidRPr="00BE28C4">
        <w:rPr>
          <w:szCs w:val="22"/>
        </w:rPr>
        <w:t>.</w:t>
      </w:r>
    </w:p>
    <w:p w14:paraId="69078D5A" w14:textId="77777777" w:rsidR="004E3AC5" w:rsidRPr="00BE28C4" w:rsidRDefault="004E3AC5">
      <w:pPr>
        <w:spacing w:line="240" w:lineRule="auto"/>
        <w:rPr>
          <w:szCs w:val="22"/>
        </w:rPr>
      </w:pPr>
    </w:p>
    <w:p w14:paraId="61C69EC8" w14:textId="77777777" w:rsidR="004E3AC5" w:rsidRPr="00BE28C4" w:rsidRDefault="00907ADD">
      <w:pPr>
        <w:tabs>
          <w:tab w:val="clear" w:pos="567"/>
        </w:tabs>
        <w:spacing w:line="240" w:lineRule="auto"/>
        <w:jc w:val="both"/>
        <w:rPr>
          <w:szCs w:val="22"/>
        </w:rPr>
      </w:pPr>
      <w:r w:rsidRPr="00BE28C4">
        <w:rPr>
          <w:szCs w:val="22"/>
        </w:rPr>
        <w:t xml:space="preserve">Podawanie </w:t>
      </w:r>
      <w:proofErr w:type="spellStart"/>
      <w:r w:rsidRPr="00BE28C4">
        <w:rPr>
          <w:szCs w:val="22"/>
        </w:rPr>
        <w:t>naltreksonu</w:t>
      </w:r>
      <w:proofErr w:type="spellEnd"/>
      <w:r w:rsidRPr="00BE28C4">
        <w:rPr>
          <w:szCs w:val="22"/>
        </w:rPr>
        <w:t xml:space="preserve"> _+ </w:t>
      </w:r>
      <w:proofErr w:type="spellStart"/>
      <w:r w:rsidRPr="00BE28C4">
        <w:rPr>
          <w:szCs w:val="22"/>
        </w:rPr>
        <w:t>bupropionu</w:t>
      </w:r>
      <w:proofErr w:type="spellEnd"/>
      <w:r w:rsidRPr="00BE28C4">
        <w:rPr>
          <w:szCs w:val="22"/>
        </w:rPr>
        <w:t xml:space="preserve"> w skojarzeniu z </w:t>
      </w:r>
      <w:proofErr w:type="spellStart"/>
      <w:r w:rsidRPr="00BE28C4">
        <w:rPr>
          <w:szCs w:val="22"/>
        </w:rPr>
        <w:t>digoksyną</w:t>
      </w:r>
      <w:proofErr w:type="spellEnd"/>
      <w:r w:rsidRPr="00BE28C4">
        <w:rPr>
          <w:szCs w:val="22"/>
        </w:rPr>
        <w:t xml:space="preserve"> może obniżać stężenie </w:t>
      </w:r>
      <w:proofErr w:type="spellStart"/>
      <w:r w:rsidRPr="00BE28C4">
        <w:rPr>
          <w:szCs w:val="22"/>
        </w:rPr>
        <w:t>digoksyny</w:t>
      </w:r>
      <w:proofErr w:type="spellEnd"/>
      <w:r w:rsidRPr="00BE28C4">
        <w:rPr>
          <w:szCs w:val="22"/>
        </w:rPr>
        <w:t xml:space="preserve"> w osoczu. Należy kontrolować stężenia </w:t>
      </w:r>
      <w:proofErr w:type="spellStart"/>
      <w:r w:rsidRPr="00BE28C4">
        <w:rPr>
          <w:szCs w:val="22"/>
        </w:rPr>
        <w:t>digoksyny</w:t>
      </w:r>
      <w:proofErr w:type="spellEnd"/>
      <w:r w:rsidRPr="00BE28C4">
        <w:rPr>
          <w:szCs w:val="22"/>
        </w:rPr>
        <w:t xml:space="preserve"> w osoczu u pacjentów leczonych równolegle </w:t>
      </w:r>
      <w:proofErr w:type="spellStart"/>
      <w:r w:rsidRPr="00BE28C4">
        <w:rPr>
          <w:szCs w:val="22"/>
        </w:rPr>
        <w:t>naltreksonem</w:t>
      </w:r>
      <w:proofErr w:type="spellEnd"/>
      <w:r w:rsidRPr="00BE28C4">
        <w:rPr>
          <w:szCs w:val="22"/>
        </w:rPr>
        <w:t xml:space="preserve"> + </w:t>
      </w:r>
      <w:proofErr w:type="spellStart"/>
      <w:r w:rsidRPr="00BE28C4">
        <w:rPr>
          <w:szCs w:val="22"/>
        </w:rPr>
        <w:t>bupropionem</w:t>
      </w:r>
      <w:proofErr w:type="spellEnd"/>
      <w:r w:rsidRPr="00BE28C4">
        <w:rPr>
          <w:szCs w:val="22"/>
        </w:rPr>
        <w:t xml:space="preserve"> w skojarzeniu z </w:t>
      </w:r>
      <w:proofErr w:type="spellStart"/>
      <w:r w:rsidRPr="00BE28C4">
        <w:rPr>
          <w:szCs w:val="22"/>
        </w:rPr>
        <w:t>digoksyną</w:t>
      </w:r>
      <w:proofErr w:type="spellEnd"/>
      <w:r w:rsidRPr="00BE28C4">
        <w:rPr>
          <w:szCs w:val="22"/>
        </w:rPr>
        <w:t xml:space="preserve">. Lekarze powinni pamiętać, że stężenie </w:t>
      </w:r>
      <w:proofErr w:type="spellStart"/>
      <w:r w:rsidRPr="00BE28C4">
        <w:rPr>
          <w:szCs w:val="22"/>
        </w:rPr>
        <w:t>digoksyny</w:t>
      </w:r>
      <w:proofErr w:type="spellEnd"/>
      <w:r w:rsidRPr="00BE28C4">
        <w:rPr>
          <w:szCs w:val="22"/>
        </w:rPr>
        <w:t xml:space="preserve"> może wzrosnąć po odstawieniu </w:t>
      </w:r>
      <w:proofErr w:type="spellStart"/>
      <w:r w:rsidRPr="00BE28C4">
        <w:rPr>
          <w:szCs w:val="22"/>
        </w:rPr>
        <w:t>naltreksonu</w:t>
      </w:r>
      <w:proofErr w:type="spellEnd"/>
      <w:r w:rsidRPr="00BE28C4">
        <w:rPr>
          <w:szCs w:val="22"/>
        </w:rPr>
        <w:t xml:space="preserve"> + </w:t>
      </w:r>
      <w:proofErr w:type="spellStart"/>
      <w:r w:rsidRPr="00BE28C4">
        <w:rPr>
          <w:szCs w:val="22"/>
        </w:rPr>
        <w:t>bupropionu</w:t>
      </w:r>
      <w:proofErr w:type="spellEnd"/>
      <w:r w:rsidRPr="00BE28C4">
        <w:rPr>
          <w:szCs w:val="22"/>
        </w:rPr>
        <w:t xml:space="preserve">, a pacjenta należy kontrolować pod kątem ewentualnego toksycznego działania </w:t>
      </w:r>
      <w:proofErr w:type="spellStart"/>
      <w:r w:rsidRPr="00BE28C4">
        <w:rPr>
          <w:szCs w:val="22"/>
        </w:rPr>
        <w:t>digoksyny</w:t>
      </w:r>
      <w:proofErr w:type="spellEnd"/>
      <w:r w:rsidRPr="00BE28C4">
        <w:rPr>
          <w:szCs w:val="22"/>
        </w:rPr>
        <w:t>.</w:t>
      </w:r>
    </w:p>
    <w:p w14:paraId="1BC6422A" w14:textId="77777777" w:rsidR="004E3AC5" w:rsidRPr="00BE28C4" w:rsidRDefault="004E3AC5">
      <w:pPr>
        <w:tabs>
          <w:tab w:val="clear" w:pos="567"/>
        </w:tabs>
        <w:spacing w:line="240" w:lineRule="auto"/>
        <w:rPr>
          <w:bCs/>
          <w:iCs/>
          <w:szCs w:val="22"/>
        </w:rPr>
      </w:pPr>
    </w:p>
    <w:p w14:paraId="1FE50121" w14:textId="77777777" w:rsidR="004E3AC5" w:rsidRPr="00BE28C4" w:rsidRDefault="00907ADD">
      <w:pPr>
        <w:spacing w:line="240" w:lineRule="auto"/>
        <w:rPr>
          <w:szCs w:val="22"/>
        </w:rPr>
      </w:pPr>
      <w:r w:rsidRPr="00BE28C4">
        <w:rPr>
          <w:szCs w:val="22"/>
        </w:rPr>
        <w:t xml:space="preserve">Nie badano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 skojarzeniu z lekami alfa-</w:t>
      </w:r>
      <w:proofErr w:type="spellStart"/>
      <w:r w:rsidRPr="00BE28C4">
        <w:rPr>
          <w:szCs w:val="22"/>
        </w:rPr>
        <w:t>adrenolitycznymi</w:t>
      </w:r>
      <w:proofErr w:type="spellEnd"/>
      <w:r w:rsidRPr="00BE28C4">
        <w:rPr>
          <w:szCs w:val="22"/>
        </w:rPr>
        <w:t xml:space="preserve"> ani klonidyną.</w:t>
      </w:r>
    </w:p>
    <w:p w14:paraId="2F69077C" w14:textId="77777777" w:rsidR="004E3AC5" w:rsidRPr="00BE28C4" w:rsidRDefault="004E3AC5">
      <w:pPr>
        <w:spacing w:line="240" w:lineRule="auto"/>
        <w:rPr>
          <w:szCs w:val="22"/>
        </w:rPr>
      </w:pPr>
    </w:p>
    <w:p w14:paraId="6B50F83C" w14:textId="77777777" w:rsidR="004E3AC5" w:rsidRPr="00BE28C4" w:rsidRDefault="00907ADD">
      <w:pPr>
        <w:spacing w:line="240" w:lineRule="auto"/>
        <w:rPr>
          <w:szCs w:val="22"/>
        </w:rPr>
      </w:pPr>
      <w:r w:rsidRPr="00BE28C4">
        <w:rPr>
          <w:szCs w:val="22"/>
        </w:rPr>
        <w:lastRenderedPageBreak/>
        <w:t xml:space="preserve">Ponieważ znaczna część trafiającego do organizmu </w:t>
      </w:r>
      <w:proofErr w:type="spellStart"/>
      <w:r w:rsidRPr="00BE28C4">
        <w:rPr>
          <w:szCs w:val="22"/>
        </w:rPr>
        <w:t>bupropionu</w:t>
      </w:r>
      <w:proofErr w:type="spellEnd"/>
      <w:r w:rsidRPr="00BE28C4">
        <w:rPr>
          <w:szCs w:val="22"/>
        </w:rPr>
        <w:t xml:space="preserve"> ulega </w:t>
      </w:r>
      <w:proofErr w:type="spellStart"/>
      <w:r w:rsidRPr="00BE28C4">
        <w:rPr>
          <w:szCs w:val="22"/>
        </w:rPr>
        <w:t>zmetabolizowaniu</w:t>
      </w:r>
      <w:proofErr w:type="spellEnd"/>
      <w:r w:rsidRPr="00BE28C4">
        <w:rPr>
          <w:szCs w:val="22"/>
        </w:rPr>
        <w:t xml:space="preserve">, wskazane jest zachowanie ostrożności przy stosowaniu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z produktami leczniczymi, co do których wiadomo, że hamują metabolizm (np. </w:t>
      </w:r>
      <w:proofErr w:type="spellStart"/>
      <w:r w:rsidRPr="00BE28C4">
        <w:rPr>
          <w:szCs w:val="22"/>
        </w:rPr>
        <w:t>walproinian</w:t>
      </w:r>
      <w:proofErr w:type="spellEnd"/>
      <w:r w:rsidRPr="00BE28C4">
        <w:rPr>
          <w:szCs w:val="22"/>
        </w:rPr>
        <w:t xml:space="preserve">), gdyż mogą one wpływać na skuteczność kliniczną i bezpieczeństwo stosowania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w:t>
      </w:r>
    </w:p>
    <w:p w14:paraId="1C500DFC" w14:textId="77777777" w:rsidR="004E3AC5" w:rsidRPr="00BE28C4" w:rsidRDefault="004E3AC5">
      <w:pPr>
        <w:spacing w:line="240" w:lineRule="auto"/>
        <w:rPr>
          <w:szCs w:val="22"/>
        </w:rPr>
      </w:pPr>
    </w:p>
    <w:p w14:paraId="46353D82" w14:textId="77777777" w:rsidR="004E3AC5" w:rsidRPr="00BE28C4" w:rsidRDefault="00907ADD">
      <w:pPr>
        <w:spacing w:line="240" w:lineRule="auto"/>
        <w:rPr>
          <w:szCs w:val="22"/>
        </w:rPr>
      </w:pPr>
      <w:r w:rsidRPr="00BE28C4">
        <w:rPr>
          <w:szCs w:val="22"/>
        </w:rPr>
        <w:t xml:space="preserve">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najlepiej przyjmować w trakcie posiłku, gdyż zarówno </w:t>
      </w:r>
      <w:proofErr w:type="spellStart"/>
      <w:r w:rsidRPr="00BE28C4">
        <w:rPr>
          <w:szCs w:val="22"/>
        </w:rPr>
        <w:t>naltrekson</w:t>
      </w:r>
      <w:proofErr w:type="spellEnd"/>
      <w:r w:rsidRPr="00BE28C4">
        <w:rPr>
          <w:szCs w:val="22"/>
        </w:rPr>
        <w:t xml:space="preserve">, jak i </w:t>
      </w:r>
      <w:proofErr w:type="spellStart"/>
      <w:r w:rsidRPr="00BE28C4">
        <w:rPr>
          <w:szCs w:val="22"/>
        </w:rPr>
        <w:t>bupropion</w:t>
      </w:r>
      <w:proofErr w:type="spellEnd"/>
      <w:r w:rsidRPr="00BE28C4">
        <w:rPr>
          <w:szCs w:val="22"/>
        </w:rPr>
        <w:t xml:space="preserve"> osiągają wyższe stężenia w osoczu, jeśli są wchłaniane w obecności treści pokarmowej, </w:t>
      </w:r>
      <w:proofErr w:type="gramStart"/>
      <w:r w:rsidRPr="00BE28C4">
        <w:rPr>
          <w:szCs w:val="22"/>
        </w:rPr>
        <w:t>oraz,</w:t>
      </w:r>
      <w:proofErr w:type="gramEnd"/>
      <w:r w:rsidRPr="00BE28C4">
        <w:rPr>
          <w:szCs w:val="22"/>
        </w:rPr>
        <w:t xml:space="preserve"> gdyż dane dotyczące bezpieczeństwa i skuteczności, uzyskane w badaniach klinicznych dotyczyły podawania tego produktu leczniczego w trakcie posiłku.</w:t>
      </w:r>
    </w:p>
    <w:p w14:paraId="03859094" w14:textId="77777777" w:rsidR="004E3AC5" w:rsidRPr="00BE28C4" w:rsidRDefault="004E3AC5">
      <w:pPr>
        <w:spacing w:line="240" w:lineRule="auto"/>
        <w:rPr>
          <w:szCs w:val="22"/>
        </w:rPr>
      </w:pPr>
    </w:p>
    <w:p w14:paraId="360823E8" w14:textId="77777777" w:rsidR="004E3AC5" w:rsidRPr="00BE28C4" w:rsidRDefault="00907ADD">
      <w:pPr>
        <w:spacing w:line="240" w:lineRule="auto"/>
        <w:ind w:left="567" w:hanging="567"/>
        <w:outlineLvl w:val="0"/>
        <w:rPr>
          <w:szCs w:val="22"/>
        </w:rPr>
      </w:pPr>
      <w:r w:rsidRPr="00BE28C4">
        <w:rPr>
          <w:b/>
          <w:szCs w:val="22"/>
        </w:rPr>
        <w:t>4.6</w:t>
      </w:r>
      <w:r w:rsidRPr="00BE28C4">
        <w:rPr>
          <w:szCs w:val="22"/>
        </w:rPr>
        <w:tab/>
      </w:r>
      <w:r w:rsidRPr="00BE28C4">
        <w:rPr>
          <w:b/>
          <w:szCs w:val="22"/>
        </w:rPr>
        <w:t>Wpływ na płodność, ciążę i laktację</w:t>
      </w:r>
    </w:p>
    <w:p w14:paraId="71564036" w14:textId="77777777" w:rsidR="004E3AC5" w:rsidRPr="00BE28C4" w:rsidRDefault="004E3AC5">
      <w:pPr>
        <w:spacing w:line="240" w:lineRule="auto"/>
        <w:rPr>
          <w:szCs w:val="22"/>
        </w:rPr>
      </w:pPr>
    </w:p>
    <w:p w14:paraId="14EA5C05" w14:textId="77777777" w:rsidR="004E3AC5" w:rsidRPr="00BE28C4" w:rsidRDefault="00907ADD">
      <w:pPr>
        <w:spacing w:line="240" w:lineRule="auto"/>
        <w:rPr>
          <w:iCs/>
          <w:szCs w:val="22"/>
          <w:u w:val="single"/>
        </w:rPr>
      </w:pPr>
      <w:r w:rsidRPr="00BE28C4">
        <w:rPr>
          <w:szCs w:val="22"/>
          <w:u w:val="single"/>
        </w:rPr>
        <w:t>Ciąża</w:t>
      </w:r>
    </w:p>
    <w:p w14:paraId="7DD8DDCA" w14:textId="77777777" w:rsidR="004E3AC5" w:rsidRPr="00BE28C4" w:rsidRDefault="00907ADD">
      <w:pPr>
        <w:spacing w:line="240" w:lineRule="auto"/>
        <w:rPr>
          <w:szCs w:val="22"/>
        </w:rPr>
      </w:pPr>
      <w:r w:rsidRPr="00BE28C4">
        <w:rPr>
          <w:szCs w:val="22"/>
        </w:rPr>
        <w:t xml:space="preserve">Brak danych lub istnieją jedynie ograniczone dane na temat stosowania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u kobiet w ciąży. Skojarzenia tego nie badano pod kątem toksycznego wpływu na rozrodczość. Badania </w:t>
      </w:r>
      <w:proofErr w:type="spellStart"/>
      <w:r w:rsidRPr="00BE28C4">
        <w:rPr>
          <w:szCs w:val="22"/>
        </w:rPr>
        <w:t>naltreksonu</w:t>
      </w:r>
      <w:proofErr w:type="spellEnd"/>
      <w:r w:rsidRPr="00BE28C4">
        <w:rPr>
          <w:szCs w:val="22"/>
        </w:rPr>
        <w:t xml:space="preserve"> na zwierzętach wykazały toksyczny wpływ na rozrodczość (patrz punkt 5.3), natomiast w badaniach </w:t>
      </w:r>
      <w:proofErr w:type="spellStart"/>
      <w:r w:rsidRPr="00BE28C4">
        <w:rPr>
          <w:szCs w:val="22"/>
        </w:rPr>
        <w:t>bupropionu</w:t>
      </w:r>
      <w:proofErr w:type="spellEnd"/>
      <w:r w:rsidRPr="00BE28C4">
        <w:rPr>
          <w:szCs w:val="22"/>
        </w:rPr>
        <w:t xml:space="preserve"> na zwierzętach nie uzyskano wyraźnych dowodów szkodliwego wpływu na rozrodczość. Potencjalne zagrożenie dla człowieka nie jest znane. </w:t>
      </w:r>
    </w:p>
    <w:p w14:paraId="03C19482" w14:textId="77777777" w:rsidR="004E3AC5" w:rsidRPr="00BE28C4" w:rsidRDefault="004E3AC5">
      <w:pPr>
        <w:spacing w:line="240" w:lineRule="auto"/>
        <w:rPr>
          <w:szCs w:val="22"/>
        </w:rPr>
      </w:pPr>
    </w:p>
    <w:p w14:paraId="346AF819" w14:textId="77777777" w:rsidR="004E3AC5" w:rsidRPr="00BE28C4" w:rsidRDefault="00907ADD">
      <w:pPr>
        <w:spacing w:line="240" w:lineRule="auto"/>
        <w:rPr>
          <w:szCs w:val="22"/>
        </w:rPr>
      </w:pPr>
      <w:r w:rsidRPr="00BE28C4">
        <w:rPr>
          <w:szCs w:val="22"/>
        </w:rPr>
        <w:t xml:space="preserve">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nie należy stosować w okresie ciąży ani u kobiet próbujących zajść w ciążę.</w:t>
      </w:r>
    </w:p>
    <w:p w14:paraId="06BCABC1" w14:textId="77777777" w:rsidR="004E3AC5" w:rsidRPr="00BE28C4" w:rsidRDefault="004E3AC5">
      <w:pPr>
        <w:spacing w:line="240" w:lineRule="auto"/>
        <w:rPr>
          <w:i/>
          <w:szCs w:val="22"/>
        </w:rPr>
      </w:pPr>
    </w:p>
    <w:p w14:paraId="0F15C855" w14:textId="77777777" w:rsidR="004E3AC5" w:rsidRPr="00BE28C4" w:rsidRDefault="00907ADD">
      <w:pPr>
        <w:spacing w:line="240" w:lineRule="auto"/>
        <w:rPr>
          <w:szCs w:val="22"/>
          <w:u w:val="single"/>
        </w:rPr>
      </w:pPr>
      <w:r w:rsidRPr="00BE28C4">
        <w:rPr>
          <w:szCs w:val="22"/>
          <w:u w:val="single"/>
        </w:rPr>
        <w:t>Karmienie piersią</w:t>
      </w:r>
    </w:p>
    <w:p w14:paraId="51B327B7" w14:textId="77777777" w:rsidR="004E3AC5" w:rsidRPr="00BE28C4" w:rsidRDefault="00907ADD">
      <w:pPr>
        <w:autoSpaceDE w:val="0"/>
        <w:autoSpaceDN w:val="0"/>
        <w:adjustRightInd w:val="0"/>
        <w:spacing w:line="240" w:lineRule="auto"/>
        <w:rPr>
          <w:rFonts w:eastAsia="SimSun"/>
          <w:szCs w:val="22"/>
        </w:rPr>
      </w:pPr>
      <w:proofErr w:type="spellStart"/>
      <w:r w:rsidRPr="00BE28C4">
        <w:rPr>
          <w:szCs w:val="22"/>
        </w:rPr>
        <w:t>Naltrekson</w:t>
      </w:r>
      <w:proofErr w:type="spellEnd"/>
      <w:r w:rsidRPr="00BE28C4">
        <w:rPr>
          <w:szCs w:val="22"/>
        </w:rPr>
        <w:t xml:space="preserve"> i </w:t>
      </w:r>
      <w:proofErr w:type="spellStart"/>
      <w:r w:rsidRPr="00BE28C4">
        <w:rPr>
          <w:szCs w:val="22"/>
        </w:rPr>
        <w:t>bupropion</w:t>
      </w:r>
      <w:proofErr w:type="spellEnd"/>
      <w:r w:rsidRPr="00BE28C4">
        <w:rPr>
          <w:szCs w:val="22"/>
        </w:rPr>
        <w:t xml:space="preserve">, a także ich metabolity, przenikają do mleka ludzkiego. </w:t>
      </w:r>
    </w:p>
    <w:p w14:paraId="61077238" w14:textId="77777777" w:rsidR="004E3AC5" w:rsidRPr="00BE28C4" w:rsidRDefault="004E3AC5">
      <w:pPr>
        <w:autoSpaceDE w:val="0"/>
        <w:autoSpaceDN w:val="0"/>
        <w:adjustRightInd w:val="0"/>
        <w:spacing w:line="240" w:lineRule="auto"/>
        <w:rPr>
          <w:rFonts w:eastAsia="SimSun"/>
          <w:szCs w:val="22"/>
        </w:rPr>
      </w:pPr>
    </w:p>
    <w:p w14:paraId="75B5A6E8" w14:textId="77777777" w:rsidR="004E3AC5" w:rsidRPr="00BE28C4" w:rsidRDefault="00907ADD">
      <w:pPr>
        <w:autoSpaceDE w:val="0"/>
        <w:autoSpaceDN w:val="0"/>
        <w:adjustRightInd w:val="0"/>
        <w:spacing w:line="240" w:lineRule="auto"/>
        <w:rPr>
          <w:rFonts w:eastAsia="SimSun"/>
          <w:szCs w:val="22"/>
        </w:rPr>
      </w:pPr>
      <w:r w:rsidRPr="00BE28C4">
        <w:rPr>
          <w:szCs w:val="22"/>
        </w:rPr>
        <w:t xml:space="preserve">Ponieważ dostępne są jedynie ograniczone informacje na temat ekspozycji ogólnoustrojowej karmionych piersią noworodków i niemowląt na </w:t>
      </w:r>
      <w:proofErr w:type="spellStart"/>
      <w:r w:rsidRPr="00BE28C4">
        <w:rPr>
          <w:szCs w:val="22"/>
        </w:rPr>
        <w:t>naltrekson</w:t>
      </w:r>
      <w:proofErr w:type="spellEnd"/>
      <w:r w:rsidRPr="00BE28C4">
        <w:rPr>
          <w:szCs w:val="22"/>
        </w:rPr>
        <w:t xml:space="preserve"> i </w:t>
      </w:r>
      <w:proofErr w:type="spellStart"/>
      <w:r w:rsidRPr="00BE28C4">
        <w:rPr>
          <w:szCs w:val="22"/>
        </w:rPr>
        <w:t>bupropion</w:t>
      </w:r>
      <w:proofErr w:type="spellEnd"/>
      <w:r w:rsidRPr="00BE28C4">
        <w:rPr>
          <w:szCs w:val="22"/>
        </w:rPr>
        <w:t xml:space="preserve">, nie można wykluczyć ewentualnego ryzyka dla noworodków i niemowląt.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nie należy stosować w okresie karmienia piersią. </w:t>
      </w:r>
    </w:p>
    <w:p w14:paraId="54D106F2" w14:textId="77777777" w:rsidR="004E3AC5" w:rsidRPr="00BE28C4" w:rsidRDefault="004E3AC5">
      <w:pPr>
        <w:spacing w:line="240" w:lineRule="auto"/>
        <w:rPr>
          <w:szCs w:val="22"/>
        </w:rPr>
      </w:pPr>
    </w:p>
    <w:p w14:paraId="720444B5" w14:textId="77777777" w:rsidR="004E3AC5" w:rsidRPr="00BE28C4" w:rsidRDefault="00907ADD">
      <w:pPr>
        <w:spacing w:line="240" w:lineRule="auto"/>
        <w:rPr>
          <w:szCs w:val="22"/>
          <w:u w:val="single"/>
        </w:rPr>
      </w:pPr>
      <w:r w:rsidRPr="00BE28C4">
        <w:rPr>
          <w:szCs w:val="22"/>
          <w:u w:val="single"/>
        </w:rPr>
        <w:t>Płodność</w:t>
      </w:r>
    </w:p>
    <w:p w14:paraId="28CCC8F2" w14:textId="77777777" w:rsidR="004E3AC5" w:rsidRPr="00BE28C4" w:rsidRDefault="00907ADD">
      <w:pPr>
        <w:spacing w:line="240" w:lineRule="auto"/>
        <w:outlineLvl w:val="0"/>
        <w:rPr>
          <w:szCs w:val="22"/>
        </w:rPr>
      </w:pPr>
      <w:r w:rsidRPr="00BE28C4">
        <w:rPr>
          <w:szCs w:val="22"/>
        </w:rPr>
        <w:t xml:space="preserve">Brak danych dotyczących wpływu skojarzonego stosowania </w:t>
      </w:r>
      <w:proofErr w:type="spellStart"/>
      <w:r w:rsidRPr="00BE28C4">
        <w:rPr>
          <w:szCs w:val="22"/>
        </w:rPr>
        <w:t>naltreksonu</w:t>
      </w:r>
      <w:proofErr w:type="spellEnd"/>
      <w:r w:rsidRPr="00BE28C4">
        <w:rPr>
          <w:szCs w:val="22"/>
        </w:rPr>
        <w:t xml:space="preserve"> i </w:t>
      </w:r>
      <w:proofErr w:type="spellStart"/>
      <w:r w:rsidRPr="00BE28C4">
        <w:rPr>
          <w:szCs w:val="22"/>
        </w:rPr>
        <w:t>bupropionu</w:t>
      </w:r>
      <w:proofErr w:type="spellEnd"/>
      <w:r w:rsidRPr="00BE28C4">
        <w:rPr>
          <w:szCs w:val="22"/>
        </w:rPr>
        <w:t xml:space="preserve"> na płodność. </w:t>
      </w:r>
      <w:r w:rsidRPr="00BE28C4">
        <w:rPr>
          <w:szCs w:val="22"/>
        </w:rPr>
        <w:br/>
        <w:t xml:space="preserve">W przypadku </w:t>
      </w:r>
      <w:proofErr w:type="spellStart"/>
      <w:r w:rsidRPr="00BE28C4">
        <w:rPr>
          <w:szCs w:val="22"/>
        </w:rPr>
        <w:t>bupropionu</w:t>
      </w:r>
      <w:proofErr w:type="spellEnd"/>
      <w:r w:rsidRPr="00BE28C4">
        <w:rPr>
          <w:szCs w:val="22"/>
        </w:rPr>
        <w:t xml:space="preserve"> badania nie wykazały toksycznego wpływu na rozrodczość. </w:t>
      </w:r>
      <w:proofErr w:type="spellStart"/>
      <w:r w:rsidRPr="00BE28C4">
        <w:rPr>
          <w:szCs w:val="22"/>
        </w:rPr>
        <w:t>Naltrekson</w:t>
      </w:r>
      <w:proofErr w:type="spellEnd"/>
      <w:r w:rsidRPr="00BE28C4">
        <w:rPr>
          <w:szCs w:val="22"/>
        </w:rPr>
        <w:t xml:space="preserve"> podawany doustnie szczurom w dawce stanowiącej około 30</w:t>
      </w:r>
      <w:r w:rsidRPr="00BE28C4">
        <w:rPr>
          <w:szCs w:val="22"/>
        </w:rPr>
        <w:noBreakHyphen/>
        <w:t xml:space="preserve">krotność dawki dostarczanej </w:t>
      </w:r>
      <w:r w:rsidRPr="00BE28C4">
        <w:rPr>
          <w:szCs w:val="22"/>
        </w:rPr>
        <w:br/>
        <w:t xml:space="preserve">w skojarzeniu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powodował znamienny wzrost liczby ciąż urojonych i zmniejszenie częstości zachodzenia w ciążę. Nie wiadomo, czy powyższe obserwacje mają jakiekolwiek przełożenie na płodność u ludzi (patrz punkt 5.3).</w:t>
      </w:r>
    </w:p>
    <w:p w14:paraId="5345A2B0" w14:textId="77777777" w:rsidR="004E3AC5" w:rsidRPr="00BE28C4" w:rsidRDefault="004E3AC5">
      <w:pPr>
        <w:spacing w:line="240" w:lineRule="auto"/>
        <w:outlineLvl w:val="0"/>
        <w:rPr>
          <w:szCs w:val="22"/>
        </w:rPr>
      </w:pPr>
    </w:p>
    <w:p w14:paraId="317F0B50" w14:textId="77777777" w:rsidR="004E3AC5" w:rsidRPr="00BE28C4" w:rsidRDefault="00907ADD">
      <w:pPr>
        <w:keepNext/>
        <w:spacing w:line="240" w:lineRule="auto"/>
        <w:ind w:left="567" w:hanging="567"/>
        <w:rPr>
          <w:b/>
          <w:szCs w:val="22"/>
        </w:rPr>
      </w:pPr>
      <w:r w:rsidRPr="00BE28C4">
        <w:rPr>
          <w:b/>
          <w:szCs w:val="22"/>
        </w:rPr>
        <w:t>4.7</w:t>
      </w:r>
      <w:r w:rsidRPr="00BE28C4">
        <w:rPr>
          <w:szCs w:val="22"/>
        </w:rPr>
        <w:tab/>
      </w:r>
      <w:r w:rsidRPr="00BE28C4">
        <w:rPr>
          <w:b/>
          <w:szCs w:val="22"/>
        </w:rPr>
        <w:t>Wpływ na zdolność prowadzenia pojazdów i obsługiwania maszyn</w:t>
      </w:r>
    </w:p>
    <w:p w14:paraId="71E1B993" w14:textId="77777777" w:rsidR="004E3AC5" w:rsidRPr="00BE28C4" w:rsidRDefault="004E3AC5">
      <w:pPr>
        <w:keepNext/>
        <w:spacing w:line="240" w:lineRule="auto"/>
        <w:ind w:left="567" w:hanging="567"/>
        <w:rPr>
          <w:szCs w:val="22"/>
        </w:rPr>
      </w:pPr>
    </w:p>
    <w:p w14:paraId="7B994179" w14:textId="77777777" w:rsidR="004E3AC5" w:rsidRPr="00BE28C4" w:rsidRDefault="00907ADD">
      <w:pPr>
        <w:spacing w:line="240" w:lineRule="auto"/>
        <w:rPr>
          <w:szCs w:val="22"/>
        </w:rPr>
      </w:pPr>
      <w:r w:rsidRPr="00BE28C4">
        <w:rPr>
          <w:szCs w:val="22"/>
        </w:rPr>
        <w:t xml:space="preserve">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wywiera wpływ na zdolność prowadzenia pojazdów i obsługiwania maszyn. Należy brać pod uwagę możliwość wystąpienia zawrotów głowy, senności, utraty przytomności i ataku drgawkowego w trakcie stosowania omawianego produktu leczniczego.</w:t>
      </w:r>
    </w:p>
    <w:p w14:paraId="4171AF93" w14:textId="77777777" w:rsidR="004E3AC5" w:rsidRPr="00BE28C4" w:rsidRDefault="004E3AC5">
      <w:pPr>
        <w:spacing w:line="240" w:lineRule="auto"/>
        <w:rPr>
          <w:szCs w:val="22"/>
        </w:rPr>
      </w:pPr>
    </w:p>
    <w:p w14:paraId="4169748B" w14:textId="77777777" w:rsidR="004E3AC5" w:rsidRPr="00BE28C4" w:rsidRDefault="00907ADD">
      <w:pPr>
        <w:tabs>
          <w:tab w:val="clear" w:pos="567"/>
        </w:tabs>
        <w:spacing w:line="240" w:lineRule="auto"/>
        <w:rPr>
          <w:szCs w:val="22"/>
        </w:rPr>
      </w:pPr>
      <w:r w:rsidRPr="00BE28C4">
        <w:rPr>
          <w:szCs w:val="22"/>
          <w:lang w:val="pl"/>
        </w:rPr>
        <w:t xml:space="preserve">Pacjentów należy ostrzec o zagrożeniach związanych z prowadzeniem pojazdów lub obsługą niebezpiecznych maszyn, jeśli skojarzenie </w:t>
      </w:r>
      <w:proofErr w:type="spellStart"/>
      <w:r w:rsidRPr="00BE28C4">
        <w:rPr>
          <w:szCs w:val="22"/>
          <w:lang w:val="pl"/>
        </w:rPr>
        <w:t>naltrekson</w:t>
      </w:r>
      <w:proofErr w:type="spellEnd"/>
      <w:r w:rsidRPr="00BE28C4">
        <w:rPr>
          <w:szCs w:val="22"/>
          <w:lang w:val="pl"/>
        </w:rPr>
        <w:t xml:space="preserve"> + </w:t>
      </w:r>
      <w:proofErr w:type="spellStart"/>
      <w:r w:rsidRPr="00BE28C4">
        <w:rPr>
          <w:szCs w:val="22"/>
          <w:lang w:val="pl"/>
        </w:rPr>
        <w:t>bupropion</w:t>
      </w:r>
      <w:proofErr w:type="spellEnd"/>
      <w:r w:rsidRPr="00BE28C4">
        <w:rPr>
          <w:szCs w:val="22"/>
          <w:lang w:val="pl"/>
        </w:rPr>
        <w:t xml:space="preserve"> może wpływać na ich zdolność wykonywania tych czynności (patrz punkt 4.4 i 4.8)</w:t>
      </w:r>
      <w:r w:rsidRPr="00BE28C4">
        <w:rPr>
          <w:szCs w:val="22"/>
        </w:rPr>
        <w:t>.</w:t>
      </w:r>
    </w:p>
    <w:p w14:paraId="05A8BFAF" w14:textId="77777777" w:rsidR="004E3AC5" w:rsidRPr="00BE28C4" w:rsidRDefault="004E3AC5">
      <w:pPr>
        <w:spacing w:line="240" w:lineRule="auto"/>
        <w:rPr>
          <w:szCs w:val="22"/>
        </w:rPr>
      </w:pPr>
    </w:p>
    <w:p w14:paraId="35CE3F1E" w14:textId="77777777" w:rsidR="004E3AC5" w:rsidRPr="00BE28C4" w:rsidRDefault="00907ADD">
      <w:pPr>
        <w:numPr>
          <w:ilvl w:val="1"/>
          <w:numId w:val="2"/>
        </w:numPr>
        <w:tabs>
          <w:tab w:val="clear" w:pos="570"/>
          <w:tab w:val="left" w:pos="567"/>
        </w:tabs>
        <w:spacing w:line="240" w:lineRule="auto"/>
        <w:outlineLvl w:val="0"/>
        <w:rPr>
          <w:b/>
          <w:szCs w:val="22"/>
        </w:rPr>
      </w:pPr>
      <w:bookmarkStart w:id="2" w:name="_Ref387614269"/>
      <w:r w:rsidRPr="00BE28C4">
        <w:rPr>
          <w:b/>
          <w:szCs w:val="22"/>
        </w:rPr>
        <w:t>Działania niepożądane</w:t>
      </w:r>
      <w:bookmarkEnd w:id="2"/>
    </w:p>
    <w:p w14:paraId="4458319F" w14:textId="77777777" w:rsidR="004E3AC5" w:rsidRPr="00BE28C4" w:rsidRDefault="004E3AC5">
      <w:pPr>
        <w:spacing w:line="240" w:lineRule="auto"/>
        <w:rPr>
          <w:szCs w:val="22"/>
        </w:rPr>
      </w:pPr>
    </w:p>
    <w:p w14:paraId="067484CB" w14:textId="77777777" w:rsidR="004E3AC5" w:rsidRPr="00BE28C4" w:rsidRDefault="00907ADD">
      <w:pPr>
        <w:spacing w:line="240" w:lineRule="auto"/>
        <w:rPr>
          <w:szCs w:val="22"/>
          <w:u w:val="single"/>
        </w:rPr>
      </w:pPr>
      <w:r w:rsidRPr="00BE28C4">
        <w:rPr>
          <w:szCs w:val="22"/>
          <w:u w:val="single"/>
        </w:rPr>
        <w:t>Podsumowanie profilu bezpieczeństwa</w:t>
      </w:r>
    </w:p>
    <w:p w14:paraId="3F172607" w14:textId="77777777" w:rsidR="004E3AC5" w:rsidRPr="00BE28C4" w:rsidRDefault="00907ADD">
      <w:pPr>
        <w:spacing w:line="240" w:lineRule="auto"/>
        <w:rPr>
          <w:szCs w:val="22"/>
        </w:rPr>
      </w:pPr>
      <w:r w:rsidRPr="00BE28C4">
        <w:rPr>
          <w:szCs w:val="22"/>
        </w:rPr>
        <w:t xml:space="preserve">W badaniach klinicznych 23,8% uczestników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i 11,9% uczestników otrzymujących placebo przerwało leczenie z powodu reakcji niepożądanej. Najczęstsze działania niepożądane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to: nudności</w:t>
      </w:r>
      <w:bookmarkStart w:id="3" w:name="_Hlk24795923"/>
      <w:r w:rsidRPr="00BE28C4">
        <w:rPr>
          <w:szCs w:val="22"/>
        </w:rPr>
        <w:t xml:space="preserve"> (bardzo często)</w:t>
      </w:r>
      <w:bookmarkEnd w:id="3"/>
      <w:r w:rsidRPr="00BE28C4">
        <w:rPr>
          <w:szCs w:val="22"/>
        </w:rPr>
        <w:t xml:space="preserve">, zaparcie (bardzo często), wymioty (bardzo często), zawroty głowy (często) i suchość w jamie ustnej (często). Najczęstszymi działaniami niepożądanymi prowadzącymi do przerwania stosowania </w:t>
      </w:r>
      <w:r w:rsidRPr="00BE28C4">
        <w:rPr>
          <w:szCs w:val="22"/>
        </w:rPr>
        <w:lastRenderedPageBreak/>
        <w:t xml:space="preserve">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były: nudności (bardzo często), ból głowy (bardzo często), zawroty głowy (często)i wymioty (bardzo często).</w:t>
      </w:r>
    </w:p>
    <w:p w14:paraId="761AC2EA" w14:textId="77777777" w:rsidR="004E3AC5" w:rsidRPr="00BE28C4" w:rsidRDefault="004E3AC5">
      <w:pPr>
        <w:spacing w:line="240" w:lineRule="auto"/>
        <w:rPr>
          <w:szCs w:val="22"/>
        </w:rPr>
      </w:pPr>
    </w:p>
    <w:p w14:paraId="7BB48C2E" w14:textId="77777777" w:rsidR="004E3AC5" w:rsidRPr="00BE28C4" w:rsidRDefault="00907ADD">
      <w:pPr>
        <w:spacing w:line="240" w:lineRule="auto"/>
        <w:rPr>
          <w:szCs w:val="22"/>
        </w:rPr>
      </w:pPr>
      <w:r w:rsidRPr="00BE28C4">
        <w:rPr>
          <w:szCs w:val="22"/>
          <w:u w:val="single"/>
        </w:rPr>
        <w:t>Tabelaryczne zestawienie działań niepożądanych</w:t>
      </w:r>
    </w:p>
    <w:p w14:paraId="5872C69B" w14:textId="77777777" w:rsidR="004E3AC5" w:rsidRPr="00BE28C4" w:rsidRDefault="004E3AC5">
      <w:pPr>
        <w:spacing w:line="240" w:lineRule="auto"/>
        <w:rPr>
          <w:szCs w:val="22"/>
        </w:rPr>
      </w:pPr>
    </w:p>
    <w:p w14:paraId="6B309376" w14:textId="77777777" w:rsidR="003D2C15" w:rsidRDefault="00907ADD">
      <w:pPr>
        <w:spacing w:line="240" w:lineRule="auto"/>
        <w:rPr>
          <w:szCs w:val="22"/>
        </w:rPr>
        <w:sectPr w:rsidR="003D2C15" w:rsidSect="008268D3">
          <w:footerReference w:type="default" r:id="rId9"/>
          <w:footerReference w:type="first" r:id="rId10"/>
          <w:endnotePr>
            <w:numFmt w:val="decimal"/>
          </w:endnotePr>
          <w:pgSz w:w="11907" w:h="16840" w:code="9"/>
          <w:pgMar w:top="1134" w:right="1417" w:bottom="1134" w:left="1417" w:header="737" w:footer="737" w:gutter="0"/>
          <w:pgNumType w:start="1"/>
          <w:cols w:space="720"/>
          <w:titlePg/>
          <w:docGrid w:linePitch="360"/>
        </w:sectPr>
      </w:pPr>
      <w:r w:rsidRPr="00BE28C4">
        <w:rPr>
          <w:szCs w:val="22"/>
        </w:rPr>
        <w:t xml:space="preserve">Przedstawiony w tabeli 1 profil bezpieczeństwa stosowania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(oznaczonego skrótem NB) oparto na badaniach klinicznych przeprowadzonych z użyciem produktu złożonego (przy czym uwzględniono wyłącznie działania niepożądane o częstości występowania wynoszącej co najmniej 0,1% i jednocześnie występujących co najmniej dwa razy częściej niż w przypadku stosowania placebo) oraz danych uzyskanych po wprowadzeniu produktu do obrotu. W wykazie terminów w tabeli 2 podano też informacje na temat działań niepożądanych obu substancji czynnych omawianego produktu leczniczego z osobna — </w:t>
      </w:r>
      <w:proofErr w:type="spellStart"/>
      <w:r w:rsidRPr="00BE28C4">
        <w:rPr>
          <w:szCs w:val="22"/>
        </w:rPr>
        <w:t>naltreksonu</w:t>
      </w:r>
      <w:proofErr w:type="spellEnd"/>
      <w:r w:rsidRPr="00BE28C4">
        <w:rPr>
          <w:szCs w:val="22"/>
        </w:rPr>
        <w:t xml:space="preserve"> (N) i </w:t>
      </w:r>
      <w:proofErr w:type="spellStart"/>
      <w:r w:rsidRPr="00BE28C4">
        <w:rPr>
          <w:szCs w:val="22"/>
        </w:rPr>
        <w:t>bupropionu</w:t>
      </w:r>
      <w:proofErr w:type="spellEnd"/>
      <w:r w:rsidRPr="00BE28C4">
        <w:rPr>
          <w:szCs w:val="22"/>
        </w:rPr>
        <w:t xml:space="preserve"> (B) — które zostały wymienione w zatwierdzonych wersjach Charakterystyk Produktu Leczniczego każdej z tych substancji czynnych dla różnych wskazań. </w:t>
      </w:r>
    </w:p>
    <w:p w14:paraId="18EE0979" w14:textId="77777777" w:rsidR="004E3AC5" w:rsidRPr="00BE28C4" w:rsidRDefault="00907ADD">
      <w:pPr>
        <w:widowControl w:val="0"/>
        <w:tabs>
          <w:tab w:val="left" w:pos="720"/>
        </w:tabs>
        <w:autoSpaceDE w:val="0"/>
        <w:autoSpaceDN w:val="0"/>
        <w:adjustRightInd w:val="0"/>
        <w:spacing w:line="240" w:lineRule="auto"/>
        <w:rPr>
          <w:szCs w:val="22"/>
        </w:rPr>
      </w:pPr>
      <w:r w:rsidRPr="00BE28C4">
        <w:rPr>
          <w:szCs w:val="22"/>
        </w:rPr>
        <w:lastRenderedPageBreak/>
        <w:t xml:space="preserve">Działania niepożądane są pod względem częstości występowania grupowane w następujące kategorie: bardzo często (≥1/10), często (od ≥1/100 do &lt;1/10), niezbyt często (od ≥1/1000 do &lt;1/100), rzadko (od </w:t>
      </w:r>
      <w:r w:rsidRPr="00BE28C4">
        <w:t>≥</w:t>
      </w:r>
      <w:r w:rsidRPr="00BE28C4">
        <w:rPr>
          <w:szCs w:val="22"/>
        </w:rPr>
        <w:t>1/10 000 do &lt;1/1000), bardzo rzadko (&lt;1/10 000) i częstość nieznana (częstość nie może być określona na podstawie dostępnych danych).</w:t>
      </w:r>
    </w:p>
    <w:p w14:paraId="7EEE33FB" w14:textId="77777777" w:rsidR="004E3AC5" w:rsidRPr="00BE28C4" w:rsidRDefault="004E3AC5">
      <w:pPr>
        <w:spacing w:line="240" w:lineRule="auto"/>
        <w:rPr>
          <w:szCs w:val="22"/>
        </w:rPr>
      </w:pPr>
    </w:p>
    <w:p w14:paraId="134D19E6" w14:textId="77777777" w:rsidR="004E3AC5" w:rsidRPr="00BE28C4" w:rsidRDefault="00907ADD">
      <w:pPr>
        <w:spacing w:line="240" w:lineRule="auto"/>
        <w:rPr>
          <w:b/>
          <w:szCs w:val="22"/>
        </w:rPr>
      </w:pPr>
      <w:r w:rsidRPr="00BE28C4">
        <w:rPr>
          <w:b/>
          <w:szCs w:val="22"/>
        </w:rPr>
        <w:t xml:space="preserve">Tabela 1. Działania niepożądane zgłaszane u osób otrzymujących skojarzenie </w:t>
      </w:r>
      <w:proofErr w:type="spellStart"/>
      <w:r w:rsidRPr="00BE28C4">
        <w:rPr>
          <w:b/>
          <w:szCs w:val="22"/>
        </w:rPr>
        <w:t>naltrekson</w:t>
      </w:r>
      <w:proofErr w:type="spellEnd"/>
      <w:r w:rsidRPr="00BE28C4">
        <w:rPr>
          <w:b/>
          <w:szCs w:val="22"/>
        </w:rPr>
        <w:t xml:space="preserve"> + </w:t>
      </w:r>
      <w:proofErr w:type="spellStart"/>
      <w:r w:rsidRPr="00BE28C4">
        <w:rPr>
          <w:b/>
          <w:szCs w:val="22"/>
        </w:rPr>
        <w:t>bupropion</w:t>
      </w:r>
      <w:proofErr w:type="spellEnd"/>
      <w:r w:rsidRPr="00BE28C4">
        <w:rPr>
          <w:b/>
          <w:i/>
          <w:szCs w:val="22"/>
        </w:rPr>
        <w:t xml:space="preserve"> </w:t>
      </w:r>
      <w:r w:rsidRPr="00BE28C4">
        <w:rPr>
          <w:b/>
          <w:iCs/>
          <w:szCs w:val="22"/>
        </w:rPr>
        <w:t>jako produkt złożony.</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268"/>
        <w:gridCol w:w="4554"/>
      </w:tblGrid>
      <w:tr w:rsidR="00BE28C4" w:rsidRPr="00BE28C4" w14:paraId="55296110" w14:textId="77777777" w:rsidTr="00C313CE">
        <w:trPr>
          <w:cantSplit/>
          <w:tblHeader/>
        </w:trPr>
        <w:tc>
          <w:tcPr>
            <w:tcW w:w="2376" w:type="dxa"/>
            <w:tcBorders>
              <w:top w:val="single" w:sz="4" w:space="0" w:color="auto"/>
              <w:left w:val="single" w:sz="4" w:space="0" w:color="auto"/>
              <w:bottom w:val="single" w:sz="4" w:space="0" w:color="auto"/>
              <w:right w:val="single" w:sz="4" w:space="0" w:color="auto"/>
            </w:tcBorders>
          </w:tcPr>
          <w:p w14:paraId="0FE74DD2" w14:textId="77777777" w:rsidR="004E3AC5" w:rsidRPr="00BE28C4" w:rsidRDefault="00907ADD">
            <w:pPr>
              <w:pStyle w:val="TableText10"/>
              <w:tabs>
                <w:tab w:val="left" w:pos="567"/>
              </w:tabs>
              <w:rPr>
                <w:b/>
                <w:sz w:val="22"/>
                <w:szCs w:val="22"/>
              </w:rPr>
            </w:pPr>
            <w:r w:rsidRPr="00BE28C4">
              <w:rPr>
                <w:b/>
                <w:sz w:val="22"/>
                <w:szCs w:val="22"/>
              </w:rPr>
              <w:t>Klasyfikacja układów i narządów</w:t>
            </w:r>
          </w:p>
        </w:tc>
        <w:tc>
          <w:tcPr>
            <w:tcW w:w="2268" w:type="dxa"/>
            <w:tcBorders>
              <w:top w:val="single" w:sz="4" w:space="0" w:color="auto"/>
              <w:left w:val="single" w:sz="4" w:space="0" w:color="auto"/>
              <w:bottom w:val="single" w:sz="4" w:space="0" w:color="auto"/>
              <w:right w:val="single" w:sz="4" w:space="0" w:color="auto"/>
            </w:tcBorders>
          </w:tcPr>
          <w:p w14:paraId="37A12CC8" w14:textId="77777777" w:rsidR="004E3AC5" w:rsidRPr="00BE28C4" w:rsidRDefault="00907ADD">
            <w:pPr>
              <w:pStyle w:val="TableText10"/>
              <w:tabs>
                <w:tab w:val="left" w:pos="567"/>
              </w:tabs>
              <w:rPr>
                <w:b/>
                <w:sz w:val="22"/>
                <w:szCs w:val="22"/>
              </w:rPr>
            </w:pPr>
            <w:r w:rsidRPr="00BE28C4">
              <w:rPr>
                <w:b/>
                <w:sz w:val="22"/>
                <w:szCs w:val="22"/>
              </w:rPr>
              <w:t>Częstość występowania</w:t>
            </w:r>
          </w:p>
        </w:tc>
        <w:tc>
          <w:tcPr>
            <w:tcW w:w="4554" w:type="dxa"/>
            <w:tcBorders>
              <w:top w:val="single" w:sz="4" w:space="0" w:color="auto"/>
              <w:left w:val="single" w:sz="4" w:space="0" w:color="auto"/>
              <w:bottom w:val="single" w:sz="4" w:space="0" w:color="auto"/>
              <w:right w:val="single" w:sz="4" w:space="0" w:color="auto"/>
            </w:tcBorders>
          </w:tcPr>
          <w:p w14:paraId="3D3FD70A" w14:textId="77777777" w:rsidR="004E3AC5" w:rsidRPr="00BE28C4" w:rsidRDefault="00907ADD">
            <w:pPr>
              <w:pStyle w:val="TableText10"/>
              <w:tabs>
                <w:tab w:val="left" w:pos="567"/>
              </w:tabs>
              <w:rPr>
                <w:b/>
                <w:sz w:val="22"/>
                <w:szCs w:val="22"/>
              </w:rPr>
            </w:pPr>
            <w:r w:rsidRPr="00BE28C4">
              <w:rPr>
                <w:b/>
                <w:sz w:val="22"/>
                <w:szCs w:val="22"/>
              </w:rPr>
              <w:t>Działanie niepożądane (produkt leczniczy*)</w:t>
            </w:r>
          </w:p>
        </w:tc>
      </w:tr>
      <w:tr w:rsidR="00BE28C4" w:rsidRPr="00BE28C4" w14:paraId="43EF2FEA" w14:textId="77777777" w:rsidTr="00C313CE">
        <w:trPr>
          <w:cantSplit/>
          <w:trHeight w:val="432"/>
        </w:trPr>
        <w:tc>
          <w:tcPr>
            <w:tcW w:w="2376" w:type="dxa"/>
            <w:vMerge w:val="restart"/>
            <w:tcBorders>
              <w:top w:val="single" w:sz="4" w:space="0" w:color="auto"/>
              <w:left w:val="single" w:sz="4" w:space="0" w:color="auto"/>
              <w:right w:val="single" w:sz="4" w:space="0" w:color="auto"/>
            </w:tcBorders>
          </w:tcPr>
          <w:p w14:paraId="2F7D9920" w14:textId="77777777" w:rsidR="004E3AC5" w:rsidRPr="00BE28C4" w:rsidRDefault="00907ADD">
            <w:pPr>
              <w:pStyle w:val="TableText10"/>
              <w:tabs>
                <w:tab w:val="left" w:pos="567"/>
              </w:tabs>
              <w:rPr>
                <w:sz w:val="22"/>
                <w:szCs w:val="22"/>
              </w:rPr>
            </w:pPr>
            <w:r w:rsidRPr="00BE28C4">
              <w:rPr>
                <w:sz w:val="22"/>
                <w:szCs w:val="22"/>
              </w:rPr>
              <w:t>Zaburzenia krwi i układu chłonnego</w:t>
            </w:r>
          </w:p>
        </w:tc>
        <w:tc>
          <w:tcPr>
            <w:tcW w:w="2268" w:type="dxa"/>
            <w:tcBorders>
              <w:top w:val="single" w:sz="4" w:space="0" w:color="auto"/>
              <w:left w:val="single" w:sz="4" w:space="0" w:color="auto"/>
              <w:bottom w:val="single" w:sz="4" w:space="0" w:color="auto"/>
              <w:right w:val="single" w:sz="4" w:space="0" w:color="auto"/>
            </w:tcBorders>
          </w:tcPr>
          <w:p w14:paraId="00683333" w14:textId="77777777" w:rsidR="004E3AC5" w:rsidRPr="00BE28C4" w:rsidRDefault="00907ADD">
            <w:pPr>
              <w:pStyle w:val="TableText10"/>
              <w:tabs>
                <w:tab w:val="left" w:pos="567"/>
              </w:tabs>
              <w:rPr>
                <w:sz w:val="22"/>
                <w:szCs w:val="22"/>
              </w:rPr>
            </w:pPr>
            <w:r w:rsidRPr="00BE28C4">
              <w:rPr>
                <w:sz w:val="22"/>
                <w:szCs w:val="22"/>
              </w:rPr>
              <w:t>Rzadko</w:t>
            </w:r>
          </w:p>
        </w:tc>
        <w:tc>
          <w:tcPr>
            <w:tcW w:w="4554" w:type="dxa"/>
            <w:tcBorders>
              <w:top w:val="single" w:sz="4" w:space="0" w:color="auto"/>
              <w:left w:val="single" w:sz="4" w:space="0" w:color="auto"/>
              <w:right w:val="single" w:sz="4" w:space="0" w:color="auto"/>
            </w:tcBorders>
          </w:tcPr>
          <w:p w14:paraId="3880E573" w14:textId="77777777" w:rsidR="004E3AC5" w:rsidRPr="00BE28C4" w:rsidRDefault="00907ADD">
            <w:pPr>
              <w:pStyle w:val="TableText10"/>
              <w:tabs>
                <w:tab w:val="left" w:pos="567"/>
              </w:tabs>
              <w:rPr>
                <w:sz w:val="22"/>
                <w:szCs w:val="22"/>
              </w:rPr>
            </w:pPr>
            <w:r w:rsidRPr="00BE28C4">
              <w:rPr>
                <w:sz w:val="22"/>
                <w:szCs w:val="22"/>
              </w:rPr>
              <w:t>Obniżony poziom hematokrytu, zmniejszona liczba limfocytów w krwi obwodowej</w:t>
            </w:r>
          </w:p>
        </w:tc>
      </w:tr>
      <w:tr w:rsidR="00BE28C4" w:rsidRPr="00BE28C4" w14:paraId="6FB3C5D0" w14:textId="77777777" w:rsidTr="00C313CE">
        <w:trPr>
          <w:cantSplit/>
          <w:trHeight w:val="113"/>
        </w:trPr>
        <w:tc>
          <w:tcPr>
            <w:tcW w:w="2376" w:type="dxa"/>
            <w:vMerge/>
            <w:tcBorders>
              <w:left w:val="single" w:sz="4" w:space="0" w:color="auto"/>
              <w:right w:val="single" w:sz="4" w:space="0" w:color="auto"/>
            </w:tcBorders>
          </w:tcPr>
          <w:p w14:paraId="4A0E02A4"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688373B" w14:textId="77777777" w:rsidR="004E3AC5" w:rsidRPr="00BE28C4" w:rsidRDefault="00907ADD">
            <w:pPr>
              <w:pStyle w:val="TableText10"/>
              <w:tabs>
                <w:tab w:val="left" w:pos="567"/>
              </w:tabs>
              <w:rPr>
                <w:sz w:val="22"/>
                <w:szCs w:val="22"/>
              </w:rPr>
            </w:pPr>
            <w:r w:rsidRPr="00BE28C4">
              <w:rPr>
                <w:sz w:val="22"/>
                <w:szCs w:val="22"/>
              </w:rPr>
              <w:t>Częstość nieznana</w:t>
            </w:r>
          </w:p>
        </w:tc>
        <w:tc>
          <w:tcPr>
            <w:tcW w:w="4554" w:type="dxa"/>
            <w:tcBorders>
              <w:top w:val="single" w:sz="4" w:space="0" w:color="auto"/>
              <w:left w:val="single" w:sz="4" w:space="0" w:color="auto"/>
              <w:right w:val="single" w:sz="4" w:space="0" w:color="auto"/>
            </w:tcBorders>
          </w:tcPr>
          <w:p w14:paraId="02BB8A42" w14:textId="77777777" w:rsidR="004E3AC5" w:rsidRPr="00BE28C4" w:rsidRDefault="00907ADD">
            <w:pPr>
              <w:pStyle w:val="TableText10"/>
              <w:tabs>
                <w:tab w:val="left" w:pos="567"/>
              </w:tabs>
              <w:rPr>
                <w:sz w:val="22"/>
                <w:szCs w:val="22"/>
              </w:rPr>
            </w:pPr>
            <w:r w:rsidRPr="00BE28C4">
              <w:rPr>
                <w:sz w:val="22"/>
                <w:szCs w:val="22"/>
              </w:rPr>
              <w:t>Powiększenie węzłów chłonnych</w:t>
            </w:r>
          </w:p>
        </w:tc>
      </w:tr>
      <w:tr w:rsidR="00BE28C4" w:rsidRPr="00BE28C4" w14:paraId="6E482EB7" w14:textId="77777777" w:rsidTr="00C313CE">
        <w:trPr>
          <w:cantSplit/>
        </w:trPr>
        <w:tc>
          <w:tcPr>
            <w:tcW w:w="2376" w:type="dxa"/>
            <w:tcBorders>
              <w:top w:val="single" w:sz="4" w:space="0" w:color="auto"/>
              <w:left w:val="single" w:sz="4" w:space="0" w:color="auto"/>
              <w:right w:val="single" w:sz="4" w:space="0" w:color="auto"/>
            </w:tcBorders>
          </w:tcPr>
          <w:p w14:paraId="5EB8B379" w14:textId="77777777" w:rsidR="004E3AC5" w:rsidRPr="00BE28C4" w:rsidRDefault="00907ADD">
            <w:pPr>
              <w:pStyle w:val="TableText10"/>
              <w:tabs>
                <w:tab w:val="left" w:pos="567"/>
              </w:tabs>
              <w:rPr>
                <w:sz w:val="22"/>
                <w:szCs w:val="22"/>
              </w:rPr>
            </w:pPr>
            <w:r w:rsidRPr="00BE28C4">
              <w:rPr>
                <w:sz w:val="22"/>
                <w:szCs w:val="22"/>
              </w:rPr>
              <w:t>Zaburzenia układu immunologicznego</w:t>
            </w:r>
          </w:p>
        </w:tc>
        <w:tc>
          <w:tcPr>
            <w:tcW w:w="2268" w:type="dxa"/>
            <w:tcBorders>
              <w:top w:val="single" w:sz="4" w:space="0" w:color="auto"/>
              <w:left w:val="single" w:sz="4" w:space="0" w:color="auto"/>
              <w:bottom w:val="single" w:sz="4" w:space="0" w:color="auto"/>
              <w:right w:val="single" w:sz="4" w:space="0" w:color="auto"/>
            </w:tcBorders>
          </w:tcPr>
          <w:p w14:paraId="6ECA23E9" w14:textId="77777777" w:rsidR="004E3AC5" w:rsidRPr="00BE28C4" w:rsidRDefault="00907ADD">
            <w:pPr>
              <w:pStyle w:val="TableText10"/>
              <w:tabs>
                <w:tab w:val="left" w:pos="567"/>
              </w:tabs>
              <w:rPr>
                <w:sz w:val="22"/>
                <w:szCs w:val="22"/>
              </w:rPr>
            </w:pPr>
            <w:r w:rsidRPr="00BE28C4">
              <w:rPr>
                <w:sz w:val="22"/>
                <w:szCs w:val="22"/>
              </w:rPr>
              <w:t>Niezbyt często</w:t>
            </w:r>
          </w:p>
        </w:tc>
        <w:tc>
          <w:tcPr>
            <w:tcW w:w="4554" w:type="dxa"/>
            <w:tcBorders>
              <w:top w:val="single" w:sz="4" w:space="0" w:color="auto"/>
              <w:left w:val="single" w:sz="4" w:space="0" w:color="auto"/>
              <w:bottom w:val="single" w:sz="4" w:space="0" w:color="auto"/>
              <w:right w:val="single" w:sz="4" w:space="0" w:color="auto"/>
            </w:tcBorders>
          </w:tcPr>
          <w:p w14:paraId="5BD0A49E" w14:textId="77777777" w:rsidR="004E3AC5" w:rsidRPr="00BE28C4" w:rsidRDefault="00907ADD">
            <w:pPr>
              <w:pStyle w:val="TableText10"/>
              <w:tabs>
                <w:tab w:val="left" w:pos="567"/>
              </w:tabs>
              <w:rPr>
                <w:sz w:val="22"/>
                <w:szCs w:val="22"/>
              </w:rPr>
            </w:pPr>
            <w:r w:rsidRPr="00BE28C4">
              <w:rPr>
                <w:sz w:val="22"/>
                <w:szCs w:val="22"/>
              </w:rPr>
              <w:t>Reakcje nadwrażliwości, pokrzywka</w:t>
            </w:r>
          </w:p>
        </w:tc>
      </w:tr>
      <w:tr w:rsidR="00BE28C4" w:rsidRPr="00BE28C4" w14:paraId="022FA639" w14:textId="77777777" w:rsidTr="00C313CE">
        <w:trPr>
          <w:cantSplit/>
        </w:trPr>
        <w:tc>
          <w:tcPr>
            <w:tcW w:w="2376" w:type="dxa"/>
            <w:tcBorders>
              <w:top w:val="nil"/>
              <w:left w:val="single" w:sz="4" w:space="0" w:color="auto"/>
              <w:bottom w:val="single" w:sz="4" w:space="0" w:color="auto"/>
              <w:right w:val="single" w:sz="4" w:space="0" w:color="auto"/>
            </w:tcBorders>
          </w:tcPr>
          <w:p w14:paraId="62352335"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B94847E" w14:textId="77777777" w:rsidR="004E3AC5" w:rsidRPr="00BE28C4" w:rsidRDefault="00907ADD">
            <w:pPr>
              <w:pStyle w:val="TableText10"/>
              <w:tabs>
                <w:tab w:val="left" w:pos="567"/>
              </w:tabs>
              <w:rPr>
                <w:sz w:val="22"/>
                <w:szCs w:val="22"/>
              </w:rPr>
            </w:pPr>
            <w:r w:rsidRPr="00BE28C4">
              <w:rPr>
                <w:sz w:val="22"/>
                <w:szCs w:val="22"/>
              </w:rPr>
              <w:t>Rzadko</w:t>
            </w:r>
          </w:p>
        </w:tc>
        <w:tc>
          <w:tcPr>
            <w:tcW w:w="4554" w:type="dxa"/>
            <w:tcBorders>
              <w:top w:val="single" w:sz="4" w:space="0" w:color="auto"/>
              <w:left w:val="single" w:sz="4" w:space="0" w:color="auto"/>
              <w:bottom w:val="single" w:sz="4" w:space="0" w:color="auto"/>
              <w:right w:val="single" w:sz="4" w:space="0" w:color="auto"/>
            </w:tcBorders>
          </w:tcPr>
          <w:p w14:paraId="7BABA040" w14:textId="77777777" w:rsidR="004E3AC5" w:rsidRPr="00BE28C4" w:rsidRDefault="00907ADD">
            <w:pPr>
              <w:pStyle w:val="TableText10"/>
              <w:tabs>
                <w:tab w:val="left" w:pos="567"/>
              </w:tabs>
              <w:rPr>
                <w:sz w:val="22"/>
                <w:szCs w:val="22"/>
              </w:rPr>
            </w:pPr>
            <w:r w:rsidRPr="00BE28C4">
              <w:rPr>
                <w:sz w:val="22"/>
                <w:szCs w:val="22"/>
              </w:rPr>
              <w:t>Obrzęk naczynioruchowy</w:t>
            </w:r>
          </w:p>
        </w:tc>
      </w:tr>
      <w:tr w:rsidR="00BE28C4" w:rsidRPr="00BE28C4" w14:paraId="36D8E9E7" w14:textId="77777777" w:rsidTr="00C313CE">
        <w:trPr>
          <w:cantSplit/>
        </w:trPr>
        <w:tc>
          <w:tcPr>
            <w:tcW w:w="2376" w:type="dxa"/>
            <w:tcBorders>
              <w:top w:val="single" w:sz="4" w:space="0" w:color="auto"/>
              <w:left w:val="single" w:sz="4" w:space="0" w:color="auto"/>
              <w:right w:val="single" w:sz="4" w:space="0" w:color="auto"/>
            </w:tcBorders>
          </w:tcPr>
          <w:p w14:paraId="79088CA1" w14:textId="77777777" w:rsidR="004E3AC5" w:rsidRPr="00BE28C4" w:rsidRDefault="00907ADD">
            <w:pPr>
              <w:pStyle w:val="TableText10"/>
              <w:tabs>
                <w:tab w:val="left" w:pos="567"/>
              </w:tabs>
              <w:rPr>
                <w:sz w:val="22"/>
                <w:szCs w:val="22"/>
              </w:rPr>
            </w:pPr>
            <w:r w:rsidRPr="00BE28C4">
              <w:rPr>
                <w:sz w:val="22"/>
                <w:szCs w:val="22"/>
              </w:rPr>
              <w:t>Zaburzenia metabolizmu i odżywiania</w:t>
            </w:r>
          </w:p>
        </w:tc>
        <w:tc>
          <w:tcPr>
            <w:tcW w:w="2268" w:type="dxa"/>
            <w:tcBorders>
              <w:top w:val="single" w:sz="4" w:space="0" w:color="auto"/>
              <w:left w:val="single" w:sz="4" w:space="0" w:color="auto"/>
              <w:bottom w:val="single" w:sz="4" w:space="0" w:color="auto"/>
              <w:right w:val="single" w:sz="4" w:space="0" w:color="auto"/>
            </w:tcBorders>
          </w:tcPr>
          <w:p w14:paraId="5807F7F9" w14:textId="77777777" w:rsidR="004E3AC5" w:rsidRPr="00BE28C4" w:rsidRDefault="00907ADD">
            <w:pPr>
              <w:pStyle w:val="TableText10"/>
              <w:tabs>
                <w:tab w:val="left" w:pos="567"/>
              </w:tabs>
              <w:rPr>
                <w:sz w:val="22"/>
                <w:szCs w:val="22"/>
              </w:rPr>
            </w:pPr>
            <w:r w:rsidRPr="00BE28C4">
              <w:rPr>
                <w:sz w:val="22"/>
                <w:szCs w:val="22"/>
              </w:rPr>
              <w:t>Rzadko</w:t>
            </w:r>
          </w:p>
        </w:tc>
        <w:tc>
          <w:tcPr>
            <w:tcW w:w="4554" w:type="dxa"/>
            <w:tcBorders>
              <w:top w:val="single" w:sz="4" w:space="0" w:color="auto"/>
              <w:left w:val="single" w:sz="4" w:space="0" w:color="auto"/>
              <w:bottom w:val="single" w:sz="4" w:space="0" w:color="auto"/>
              <w:right w:val="single" w:sz="4" w:space="0" w:color="auto"/>
            </w:tcBorders>
          </w:tcPr>
          <w:p w14:paraId="44C0E333" w14:textId="77777777" w:rsidR="004E3AC5" w:rsidRPr="00BE28C4" w:rsidRDefault="00907ADD">
            <w:pPr>
              <w:pStyle w:val="TableText10"/>
              <w:tabs>
                <w:tab w:val="left" w:pos="567"/>
              </w:tabs>
              <w:rPr>
                <w:sz w:val="22"/>
                <w:szCs w:val="22"/>
              </w:rPr>
            </w:pPr>
            <w:r w:rsidRPr="00BE28C4">
              <w:rPr>
                <w:sz w:val="22"/>
                <w:szCs w:val="22"/>
              </w:rPr>
              <w:t>Odwodnienie</w:t>
            </w:r>
          </w:p>
        </w:tc>
      </w:tr>
      <w:tr w:rsidR="00BE28C4" w:rsidRPr="00BE28C4" w14:paraId="66CCBAFB" w14:textId="77777777" w:rsidTr="00C313CE">
        <w:trPr>
          <w:cantSplit/>
          <w:trHeight w:val="215"/>
        </w:trPr>
        <w:tc>
          <w:tcPr>
            <w:tcW w:w="2376" w:type="dxa"/>
            <w:vMerge w:val="restart"/>
            <w:tcBorders>
              <w:top w:val="single" w:sz="4" w:space="0" w:color="auto"/>
              <w:left w:val="single" w:sz="4" w:space="0" w:color="auto"/>
              <w:right w:val="single" w:sz="4" w:space="0" w:color="auto"/>
            </w:tcBorders>
          </w:tcPr>
          <w:p w14:paraId="3A921C9C" w14:textId="77777777" w:rsidR="004E3AC5" w:rsidRPr="00BE28C4" w:rsidRDefault="00907ADD">
            <w:pPr>
              <w:pStyle w:val="TableText10"/>
              <w:tabs>
                <w:tab w:val="left" w:pos="567"/>
              </w:tabs>
              <w:rPr>
                <w:sz w:val="22"/>
                <w:szCs w:val="22"/>
              </w:rPr>
            </w:pPr>
            <w:r w:rsidRPr="00BE28C4">
              <w:rPr>
                <w:sz w:val="22"/>
                <w:szCs w:val="22"/>
              </w:rPr>
              <w:t>Zaburzenia psychiczne</w:t>
            </w:r>
          </w:p>
        </w:tc>
        <w:tc>
          <w:tcPr>
            <w:tcW w:w="2268" w:type="dxa"/>
            <w:tcBorders>
              <w:top w:val="single" w:sz="4" w:space="0" w:color="auto"/>
              <w:left w:val="single" w:sz="4" w:space="0" w:color="auto"/>
              <w:right w:val="single" w:sz="4" w:space="0" w:color="auto"/>
            </w:tcBorders>
          </w:tcPr>
          <w:p w14:paraId="12605069" w14:textId="77777777" w:rsidR="004E3AC5" w:rsidRPr="00BE28C4" w:rsidRDefault="00907ADD">
            <w:pPr>
              <w:pStyle w:val="TableText10"/>
              <w:tabs>
                <w:tab w:val="left" w:pos="567"/>
              </w:tabs>
              <w:rPr>
                <w:sz w:val="22"/>
                <w:szCs w:val="22"/>
              </w:rPr>
            </w:pPr>
            <w:r w:rsidRPr="00BE28C4">
              <w:rPr>
                <w:sz w:val="22"/>
                <w:szCs w:val="22"/>
              </w:rPr>
              <w:t>Często</w:t>
            </w:r>
          </w:p>
        </w:tc>
        <w:tc>
          <w:tcPr>
            <w:tcW w:w="4554" w:type="dxa"/>
            <w:tcBorders>
              <w:top w:val="single" w:sz="4" w:space="0" w:color="auto"/>
              <w:left w:val="single" w:sz="4" w:space="0" w:color="auto"/>
              <w:right w:val="single" w:sz="4" w:space="0" w:color="auto"/>
            </w:tcBorders>
          </w:tcPr>
          <w:p w14:paraId="13F9876A" w14:textId="77777777" w:rsidR="004E3AC5" w:rsidRPr="00BE28C4" w:rsidRDefault="00907ADD">
            <w:pPr>
              <w:pStyle w:val="TableText10"/>
              <w:tabs>
                <w:tab w:val="left" w:pos="567"/>
              </w:tabs>
              <w:rPr>
                <w:sz w:val="22"/>
                <w:szCs w:val="22"/>
              </w:rPr>
            </w:pPr>
            <w:r w:rsidRPr="00BE28C4">
              <w:rPr>
                <w:sz w:val="22"/>
                <w:szCs w:val="22"/>
              </w:rPr>
              <w:t>Lęk, bezsenność</w:t>
            </w:r>
          </w:p>
        </w:tc>
      </w:tr>
      <w:tr w:rsidR="00BE28C4" w:rsidRPr="00BE28C4" w14:paraId="1BAD0D7A" w14:textId="77777777" w:rsidTr="00C313CE">
        <w:trPr>
          <w:cantSplit/>
          <w:trHeight w:val="690"/>
        </w:trPr>
        <w:tc>
          <w:tcPr>
            <w:tcW w:w="2376" w:type="dxa"/>
            <w:vMerge/>
            <w:tcBorders>
              <w:left w:val="single" w:sz="4" w:space="0" w:color="auto"/>
              <w:right w:val="single" w:sz="4" w:space="0" w:color="auto"/>
            </w:tcBorders>
          </w:tcPr>
          <w:p w14:paraId="572E2857"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right w:val="single" w:sz="4" w:space="0" w:color="auto"/>
            </w:tcBorders>
          </w:tcPr>
          <w:p w14:paraId="20CE86CC" w14:textId="77777777" w:rsidR="004E3AC5" w:rsidRPr="00BE28C4" w:rsidRDefault="00907ADD">
            <w:pPr>
              <w:pStyle w:val="TableText10"/>
              <w:tabs>
                <w:tab w:val="left" w:pos="567"/>
              </w:tabs>
              <w:rPr>
                <w:sz w:val="22"/>
                <w:szCs w:val="22"/>
              </w:rPr>
            </w:pPr>
            <w:r w:rsidRPr="00BE28C4">
              <w:rPr>
                <w:sz w:val="22"/>
                <w:szCs w:val="22"/>
              </w:rPr>
              <w:t xml:space="preserve">Niezbyt często </w:t>
            </w:r>
          </w:p>
        </w:tc>
        <w:tc>
          <w:tcPr>
            <w:tcW w:w="4554" w:type="dxa"/>
            <w:tcBorders>
              <w:top w:val="single" w:sz="4" w:space="0" w:color="auto"/>
              <w:left w:val="single" w:sz="4" w:space="0" w:color="auto"/>
              <w:right w:val="single" w:sz="4" w:space="0" w:color="auto"/>
            </w:tcBorders>
          </w:tcPr>
          <w:p w14:paraId="2E15F6E2" w14:textId="77777777" w:rsidR="004E3AC5" w:rsidRPr="00BE28C4" w:rsidRDefault="00907ADD">
            <w:pPr>
              <w:pStyle w:val="TableText10"/>
              <w:tabs>
                <w:tab w:val="left" w:pos="567"/>
              </w:tabs>
              <w:rPr>
                <w:sz w:val="22"/>
                <w:szCs w:val="22"/>
              </w:rPr>
            </w:pPr>
            <w:r w:rsidRPr="00BE28C4">
              <w:rPr>
                <w:sz w:val="22"/>
                <w:szCs w:val="22"/>
              </w:rPr>
              <w:t>Dziwne sny, pobudzenie psychoruchowe, dysocjacja (poczucie odseparowania), wahania nastroju, nerwowość, uczucie napięcia psychicznego</w:t>
            </w:r>
          </w:p>
        </w:tc>
      </w:tr>
      <w:tr w:rsidR="00BE28C4" w:rsidRPr="00BE28C4" w14:paraId="3E181EC1" w14:textId="77777777" w:rsidTr="00C313CE">
        <w:trPr>
          <w:cantSplit/>
          <w:trHeight w:val="260"/>
        </w:trPr>
        <w:tc>
          <w:tcPr>
            <w:tcW w:w="2376" w:type="dxa"/>
            <w:vMerge/>
            <w:tcBorders>
              <w:left w:val="single" w:sz="4" w:space="0" w:color="auto"/>
              <w:right w:val="single" w:sz="4" w:space="0" w:color="auto"/>
            </w:tcBorders>
          </w:tcPr>
          <w:p w14:paraId="58EABED6"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right w:val="single" w:sz="4" w:space="0" w:color="auto"/>
            </w:tcBorders>
          </w:tcPr>
          <w:p w14:paraId="40A7F674" w14:textId="77777777" w:rsidR="004E3AC5" w:rsidRPr="00BE28C4" w:rsidRDefault="00907ADD">
            <w:pPr>
              <w:pStyle w:val="TableText10"/>
              <w:tabs>
                <w:tab w:val="left" w:pos="567"/>
              </w:tabs>
              <w:rPr>
                <w:sz w:val="22"/>
                <w:szCs w:val="22"/>
              </w:rPr>
            </w:pPr>
            <w:r w:rsidRPr="00BE28C4">
              <w:rPr>
                <w:sz w:val="22"/>
                <w:szCs w:val="22"/>
              </w:rPr>
              <w:t>Rzadko</w:t>
            </w:r>
          </w:p>
        </w:tc>
        <w:tc>
          <w:tcPr>
            <w:tcW w:w="4554" w:type="dxa"/>
            <w:tcBorders>
              <w:top w:val="single" w:sz="4" w:space="0" w:color="auto"/>
              <w:left w:val="single" w:sz="4" w:space="0" w:color="auto"/>
              <w:right w:val="single" w:sz="4" w:space="0" w:color="auto"/>
            </w:tcBorders>
          </w:tcPr>
          <w:p w14:paraId="06A68A66" w14:textId="77777777" w:rsidR="004E3AC5" w:rsidRPr="00BE28C4" w:rsidRDefault="00907ADD">
            <w:pPr>
              <w:pStyle w:val="TableText10"/>
              <w:tabs>
                <w:tab w:val="left" w:pos="567"/>
              </w:tabs>
              <w:rPr>
                <w:sz w:val="22"/>
                <w:szCs w:val="22"/>
              </w:rPr>
            </w:pPr>
            <w:r w:rsidRPr="00BE28C4">
              <w:rPr>
                <w:sz w:val="22"/>
                <w:szCs w:val="22"/>
              </w:rPr>
              <w:t>Omamy</w:t>
            </w:r>
          </w:p>
        </w:tc>
      </w:tr>
      <w:tr w:rsidR="00BE28C4" w:rsidRPr="00BE28C4" w14:paraId="6F3079D5" w14:textId="77777777" w:rsidTr="00C313CE">
        <w:trPr>
          <w:cantSplit/>
          <w:trHeight w:val="260"/>
        </w:trPr>
        <w:tc>
          <w:tcPr>
            <w:tcW w:w="2376" w:type="dxa"/>
            <w:vMerge/>
            <w:tcBorders>
              <w:left w:val="single" w:sz="4" w:space="0" w:color="auto"/>
              <w:right w:val="single" w:sz="4" w:space="0" w:color="auto"/>
            </w:tcBorders>
          </w:tcPr>
          <w:p w14:paraId="3E60B8B1"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right w:val="single" w:sz="4" w:space="0" w:color="auto"/>
            </w:tcBorders>
          </w:tcPr>
          <w:p w14:paraId="1F9A2B54" w14:textId="77777777" w:rsidR="004E3AC5" w:rsidRPr="00BE28C4" w:rsidRDefault="00907ADD">
            <w:pPr>
              <w:pStyle w:val="TableText10"/>
              <w:tabs>
                <w:tab w:val="left" w:pos="567"/>
              </w:tabs>
              <w:rPr>
                <w:sz w:val="22"/>
                <w:szCs w:val="22"/>
              </w:rPr>
            </w:pPr>
            <w:r w:rsidRPr="00BE28C4">
              <w:rPr>
                <w:sz w:val="22"/>
                <w:szCs w:val="22"/>
              </w:rPr>
              <w:t>Częstość nieznana</w:t>
            </w:r>
          </w:p>
        </w:tc>
        <w:tc>
          <w:tcPr>
            <w:tcW w:w="4554" w:type="dxa"/>
            <w:tcBorders>
              <w:top w:val="single" w:sz="4" w:space="0" w:color="auto"/>
              <w:left w:val="single" w:sz="4" w:space="0" w:color="auto"/>
              <w:right w:val="single" w:sz="4" w:space="0" w:color="auto"/>
            </w:tcBorders>
          </w:tcPr>
          <w:p w14:paraId="787D04DD" w14:textId="77777777" w:rsidR="004E3AC5" w:rsidRPr="00BE28C4" w:rsidRDefault="00907ADD">
            <w:pPr>
              <w:pStyle w:val="TableText10"/>
              <w:tabs>
                <w:tab w:val="left" w:pos="567"/>
              </w:tabs>
              <w:rPr>
                <w:sz w:val="22"/>
                <w:szCs w:val="22"/>
              </w:rPr>
            </w:pPr>
            <w:r w:rsidRPr="00BE28C4">
              <w:rPr>
                <w:sz w:val="22"/>
                <w:szCs w:val="22"/>
              </w:rPr>
              <w:t>Napad paniki</w:t>
            </w:r>
          </w:p>
        </w:tc>
      </w:tr>
      <w:tr w:rsidR="00BE28C4" w:rsidRPr="00BE28C4" w14:paraId="283673A6" w14:textId="77777777" w:rsidTr="00C313CE">
        <w:trPr>
          <w:cantSplit/>
          <w:trHeight w:val="260"/>
        </w:trPr>
        <w:tc>
          <w:tcPr>
            <w:tcW w:w="2376" w:type="dxa"/>
            <w:vMerge/>
            <w:tcBorders>
              <w:left w:val="single" w:sz="4" w:space="0" w:color="auto"/>
              <w:right w:val="single" w:sz="4" w:space="0" w:color="auto"/>
            </w:tcBorders>
          </w:tcPr>
          <w:p w14:paraId="31BEE1C8"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right w:val="single" w:sz="4" w:space="0" w:color="auto"/>
            </w:tcBorders>
          </w:tcPr>
          <w:p w14:paraId="02E883CF" w14:textId="77777777" w:rsidR="004E3AC5" w:rsidRPr="00BE28C4" w:rsidRDefault="00907ADD">
            <w:pPr>
              <w:pStyle w:val="TableText10"/>
              <w:tabs>
                <w:tab w:val="left" w:pos="567"/>
              </w:tabs>
              <w:rPr>
                <w:sz w:val="22"/>
                <w:szCs w:val="22"/>
              </w:rPr>
            </w:pPr>
            <w:r w:rsidRPr="00BE28C4">
              <w:rPr>
                <w:sz w:val="22"/>
                <w:szCs w:val="22"/>
              </w:rPr>
              <w:t>Częstość nieznana</w:t>
            </w:r>
          </w:p>
        </w:tc>
        <w:tc>
          <w:tcPr>
            <w:tcW w:w="4554" w:type="dxa"/>
            <w:tcBorders>
              <w:top w:val="single" w:sz="4" w:space="0" w:color="auto"/>
              <w:left w:val="single" w:sz="4" w:space="0" w:color="auto"/>
              <w:right w:val="single" w:sz="4" w:space="0" w:color="auto"/>
            </w:tcBorders>
          </w:tcPr>
          <w:p w14:paraId="2D1560FC" w14:textId="77777777" w:rsidR="004E3AC5" w:rsidRPr="00BE28C4" w:rsidRDefault="00907ADD">
            <w:pPr>
              <w:pStyle w:val="TableText10"/>
              <w:tabs>
                <w:tab w:val="left" w:pos="567"/>
              </w:tabs>
              <w:rPr>
                <w:sz w:val="22"/>
                <w:szCs w:val="22"/>
              </w:rPr>
            </w:pPr>
            <w:r w:rsidRPr="00BE28C4">
              <w:rPr>
                <w:sz w:val="22"/>
                <w:szCs w:val="22"/>
              </w:rPr>
              <w:t xml:space="preserve">Zaburzeni afektywne, agresja, stan splątania, urojenia, </w:t>
            </w:r>
            <w:proofErr w:type="spellStart"/>
            <w:r w:rsidRPr="00BE28C4">
              <w:rPr>
                <w:sz w:val="22"/>
                <w:szCs w:val="22"/>
              </w:rPr>
              <w:t>depreseja</w:t>
            </w:r>
            <w:proofErr w:type="spellEnd"/>
            <w:r w:rsidRPr="00BE28C4">
              <w:rPr>
                <w:sz w:val="22"/>
                <w:szCs w:val="22"/>
              </w:rPr>
              <w:t>, dezorientacja, zaburzenia uwagi, wrogość, utrata libido, paranoja, zaburzenia psychotyczne, myśli samobójcze*, próby samobójcze, zachowania samobójcze</w:t>
            </w:r>
          </w:p>
        </w:tc>
      </w:tr>
      <w:tr w:rsidR="00BE28C4" w:rsidRPr="00BE28C4" w14:paraId="1DFA51CE" w14:textId="77777777" w:rsidTr="00C313CE">
        <w:trPr>
          <w:cantSplit/>
        </w:trPr>
        <w:tc>
          <w:tcPr>
            <w:tcW w:w="2376" w:type="dxa"/>
            <w:vMerge w:val="restart"/>
            <w:tcBorders>
              <w:top w:val="single" w:sz="4" w:space="0" w:color="auto"/>
              <w:left w:val="single" w:sz="4" w:space="0" w:color="auto"/>
              <w:right w:val="single" w:sz="4" w:space="0" w:color="auto"/>
            </w:tcBorders>
          </w:tcPr>
          <w:p w14:paraId="4BFF7874" w14:textId="77777777" w:rsidR="004E3AC5" w:rsidRPr="00BE28C4" w:rsidRDefault="00907ADD">
            <w:pPr>
              <w:pStyle w:val="TableText10"/>
              <w:tabs>
                <w:tab w:val="left" w:pos="567"/>
              </w:tabs>
              <w:rPr>
                <w:sz w:val="22"/>
                <w:szCs w:val="22"/>
              </w:rPr>
            </w:pPr>
            <w:r w:rsidRPr="00BE28C4">
              <w:rPr>
                <w:sz w:val="22"/>
                <w:szCs w:val="22"/>
              </w:rPr>
              <w:t xml:space="preserve">Zaburzenia układu nerwowego </w:t>
            </w:r>
          </w:p>
        </w:tc>
        <w:tc>
          <w:tcPr>
            <w:tcW w:w="2268" w:type="dxa"/>
            <w:tcBorders>
              <w:top w:val="single" w:sz="4" w:space="0" w:color="auto"/>
              <w:left w:val="single" w:sz="4" w:space="0" w:color="auto"/>
              <w:bottom w:val="single" w:sz="4" w:space="0" w:color="auto"/>
              <w:right w:val="single" w:sz="4" w:space="0" w:color="auto"/>
            </w:tcBorders>
          </w:tcPr>
          <w:p w14:paraId="22BCC91E" w14:textId="77777777" w:rsidR="004E3AC5" w:rsidRPr="00BE28C4" w:rsidRDefault="00907ADD">
            <w:pPr>
              <w:pStyle w:val="TableText10"/>
              <w:tabs>
                <w:tab w:val="left" w:pos="567"/>
              </w:tabs>
              <w:rPr>
                <w:sz w:val="22"/>
                <w:szCs w:val="22"/>
              </w:rPr>
            </w:pPr>
            <w:r w:rsidRPr="00BE28C4">
              <w:rPr>
                <w:sz w:val="22"/>
                <w:szCs w:val="22"/>
              </w:rPr>
              <w:t>Bardzo często</w:t>
            </w:r>
          </w:p>
        </w:tc>
        <w:tc>
          <w:tcPr>
            <w:tcW w:w="4554" w:type="dxa"/>
            <w:tcBorders>
              <w:top w:val="single" w:sz="4" w:space="0" w:color="auto"/>
              <w:left w:val="single" w:sz="4" w:space="0" w:color="auto"/>
              <w:bottom w:val="single" w:sz="4" w:space="0" w:color="auto"/>
              <w:right w:val="single" w:sz="4" w:space="0" w:color="auto"/>
            </w:tcBorders>
          </w:tcPr>
          <w:p w14:paraId="3F7C489C" w14:textId="77777777" w:rsidR="004E3AC5" w:rsidRPr="00BE28C4" w:rsidRDefault="00907ADD">
            <w:pPr>
              <w:pStyle w:val="TableText10"/>
              <w:tabs>
                <w:tab w:val="left" w:pos="567"/>
              </w:tabs>
              <w:rPr>
                <w:sz w:val="22"/>
                <w:szCs w:val="22"/>
              </w:rPr>
            </w:pPr>
            <w:r w:rsidRPr="00BE28C4">
              <w:rPr>
                <w:sz w:val="22"/>
                <w:szCs w:val="22"/>
              </w:rPr>
              <w:t>Ból głowy</w:t>
            </w:r>
          </w:p>
        </w:tc>
      </w:tr>
      <w:tr w:rsidR="00BE28C4" w:rsidRPr="00BE28C4" w14:paraId="6B25D55C" w14:textId="77777777" w:rsidTr="00C313CE">
        <w:trPr>
          <w:cantSplit/>
        </w:trPr>
        <w:tc>
          <w:tcPr>
            <w:tcW w:w="2376" w:type="dxa"/>
            <w:vMerge/>
            <w:tcBorders>
              <w:left w:val="single" w:sz="4" w:space="0" w:color="auto"/>
              <w:right w:val="single" w:sz="4" w:space="0" w:color="auto"/>
            </w:tcBorders>
          </w:tcPr>
          <w:p w14:paraId="27210A1A"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98D5F1D" w14:textId="77777777" w:rsidR="004E3AC5" w:rsidRPr="00BE28C4" w:rsidRDefault="00907ADD">
            <w:pPr>
              <w:pStyle w:val="TableText10"/>
              <w:tabs>
                <w:tab w:val="left" w:pos="567"/>
              </w:tabs>
              <w:rPr>
                <w:sz w:val="22"/>
                <w:szCs w:val="22"/>
              </w:rPr>
            </w:pPr>
            <w:r w:rsidRPr="00BE28C4">
              <w:rPr>
                <w:sz w:val="22"/>
                <w:szCs w:val="22"/>
              </w:rPr>
              <w:t xml:space="preserve">Często </w:t>
            </w:r>
          </w:p>
        </w:tc>
        <w:tc>
          <w:tcPr>
            <w:tcW w:w="4554" w:type="dxa"/>
            <w:tcBorders>
              <w:top w:val="single" w:sz="4" w:space="0" w:color="auto"/>
              <w:left w:val="single" w:sz="4" w:space="0" w:color="auto"/>
              <w:bottom w:val="single" w:sz="4" w:space="0" w:color="auto"/>
              <w:right w:val="single" w:sz="4" w:space="0" w:color="auto"/>
            </w:tcBorders>
          </w:tcPr>
          <w:p w14:paraId="7F86A2F0" w14:textId="77777777" w:rsidR="004E3AC5" w:rsidRPr="00BE28C4" w:rsidRDefault="00907ADD">
            <w:pPr>
              <w:pStyle w:val="TableText10"/>
              <w:tabs>
                <w:tab w:val="left" w:pos="567"/>
              </w:tabs>
              <w:rPr>
                <w:sz w:val="22"/>
                <w:szCs w:val="22"/>
              </w:rPr>
            </w:pPr>
            <w:r w:rsidRPr="00BE28C4">
              <w:rPr>
                <w:sz w:val="22"/>
                <w:szCs w:val="22"/>
              </w:rPr>
              <w:t>Zawroty głowy, drżenie, zaburzenia odczuwania smaku, uczucie braku energii, senność</w:t>
            </w:r>
          </w:p>
        </w:tc>
      </w:tr>
      <w:tr w:rsidR="00BE28C4" w:rsidRPr="00BE28C4" w14:paraId="5D867DC9" w14:textId="77777777" w:rsidTr="00C313CE">
        <w:trPr>
          <w:cantSplit/>
        </w:trPr>
        <w:tc>
          <w:tcPr>
            <w:tcW w:w="2376" w:type="dxa"/>
            <w:vMerge/>
            <w:tcBorders>
              <w:left w:val="single" w:sz="4" w:space="0" w:color="auto"/>
              <w:right w:val="single" w:sz="4" w:space="0" w:color="auto"/>
            </w:tcBorders>
          </w:tcPr>
          <w:p w14:paraId="25771426"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44CB4AB" w14:textId="77777777" w:rsidR="004E3AC5" w:rsidRPr="00BE28C4" w:rsidRDefault="00907ADD">
            <w:pPr>
              <w:pStyle w:val="TableText10"/>
              <w:tabs>
                <w:tab w:val="left" w:pos="567"/>
              </w:tabs>
              <w:rPr>
                <w:sz w:val="22"/>
                <w:szCs w:val="22"/>
              </w:rPr>
            </w:pPr>
            <w:r w:rsidRPr="00BE28C4">
              <w:rPr>
                <w:sz w:val="22"/>
                <w:szCs w:val="22"/>
              </w:rPr>
              <w:t xml:space="preserve">Niezbyt często </w:t>
            </w:r>
          </w:p>
        </w:tc>
        <w:tc>
          <w:tcPr>
            <w:tcW w:w="4554" w:type="dxa"/>
            <w:tcBorders>
              <w:top w:val="single" w:sz="4" w:space="0" w:color="auto"/>
              <w:left w:val="single" w:sz="4" w:space="0" w:color="auto"/>
              <w:bottom w:val="single" w:sz="4" w:space="0" w:color="auto"/>
              <w:right w:val="single" w:sz="4" w:space="0" w:color="auto"/>
            </w:tcBorders>
          </w:tcPr>
          <w:p w14:paraId="6DBBED2B" w14:textId="77777777" w:rsidR="004E3AC5" w:rsidRPr="00BE28C4" w:rsidRDefault="00907ADD">
            <w:pPr>
              <w:pStyle w:val="TableText10"/>
              <w:tabs>
                <w:tab w:val="left" w:pos="567"/>
              </w:tabs>
              <w:ind w:right="-126"/>
              <w:rPr>
                <w:sz w:val="22"/>
                <w:szCs w:val="22"/>
              </w:rPr>
            </w:pPr>
            <w:r w:rsidRPr="00BE28C4">
              <w:rPr>
                <w:sz w:val="22"/>
                <w:szCs w:val="22"/>
              </w:rPr>
              <w:t xml:space="preserve">Drżenie </w:t>
            </w:r>
            <w:proofErr w:type="spellStart"/>
            <w:r w:rsidRPr="00BE28C4">
              <w:rPr>
                <w:sz w:val="22"/>
                <w:szCs w:val="22"/>
              </w:rPr>
              <w:t>zamiarowe</w:t>
            </w:r>
            <w:proofErr w:type="spellEnd"/>
            <w:r w:rsidRPr="00BE28C4">
              <w:rPr>
                <w:sz w:val="22"/>
                <w:szCs w:val="22"/>
              </w:rPr>
              <w:t>, zaburzenia równowagi, niepamięć</w:t>
            </w:r>
          </w:p>
        </w:tc>
      </w:tr>
      <w:tr w:rsidR="00BE28C4" w:rsidRPr="00BE28C4" w14:paraId="2AE077F5" w14:textId="77777777" w:rsidTr="00C313CE">
        <w:trPr>
          <w:cantSplit/>
        </w:trPr>
        <w:tc>
          <w:tcPr>
            <w:tcW w:w="2376" w:type="dxa"/>
            <w:vMerge/>
            <w:tcBorders>
              <w:left w:val="single" w:sz="4" w:space="0" w:color="auto"/>
              <w:right w:val="single" w:sz="4" w:space="0" w:color="auto"/>
            </w:tcBorders>
          </w:tcPr>
          <w:p w14:paraId="0B9468E8"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7893A70" w14:textId="77777777" w:rsidR="004E3AC5" w:rsidRPr="00BE28C4" w:rsidRDefault="00907ADD">
            <w:pPr>
              <w:pStyle w:val="TableText10"/>
              <w:tabs>
                <w:tab w:val="left" w:pos="567"/>
              </w:tabs>
              <w:rPr>
                <w:sz w:val="22"/>
                <w:szCs w:val="22"/>
              </w:rPr>
            </w:pPr>
            <w:r w:rsidRPr="00BE28C4">
              <w:rPr>
                <w:sz w:val="22"/>
                <w:szCs w:val="22"/>
              </w:rPr>
              <w:t>Rzadko</w:t>
            </w:r>
          </w:p>
        </w:tc>
        <w:tc>
          <w:tcPr>
            <w:tcW w:w="4554" w:type="dxa"/>
            <w:tcBorders>
              <w:top w:val="single" w:sz="4" w:space="0" w:color="auto"/>
              <w:left w:val="single" w:sz="4" w:space="0" w:color="auto"/>
              <w:bottom w:val="single" w:sz="4" w:space="0" w:color="auto"/>
              <w:right w:val="single" w:sz="4" w:space="0" w:color="auto"/>
            </w:tcBorders>
          </w:tcPr>
          <w:p w14:paraId="4693B055" w14:textId="77777777" w:rsidR="004E3AC5" w:rsidRPr="00BE28C4" w:rsidRDefault="00907ADD">
            <w:pPr>
              <w:pStyle w:val="TableText10"/>
              <w:tabs>
                <w:tab w:val="left" w:pos="567"/>
              </w:tabs>
              <w:ind w:right="-126"/>
              <w:rPr>
                <w:sz w:val="22"/>
                <w:szCs w:val="22"/>
              </w:rPr>
            </w:pPr>
            <w:r w:rsidRPr="00BE28C4">
              <w:rPr>
                <w:sz w:val="22"/>
                <w:szCs w:val="22"/>
              </w:rPr>
              <w:t xml:space="preserve">Utrata przytomności, parestezje, stan </w:t>
            </w:r>
            <w:proofErr w:type="spellStart"/>
            <w:r w:rsidRPr="00BE28C4">
              <w:rPr>
                <w:sz w:val="22"/>
                <w:szCs w:val="22"/>
              </w:rPr>
              <w:t>przedomdleniowy</w:t>
            </w:r>
            <w:proofErr w:type="spellEnd"/>
            <w:r w:rsidRPr="00BE28C4">
              <w:rPr>
                <w:sz w:val="22"/>
                <w:szCs w:val="22"/>
              </w:rPr>
              <w:t xml:space="preserve">, napady drgawkowe**, omdlenie, </w:t>
            </w:r>
          </w:p>
        </w:tc>
      </w:tr>
      <w:tr w:rsidR="00BE28C4" w:rsidRPr="00BE28C4" w14:paraId="5110A599" w14:textId="77777777" w:rsidTr="00C313CE">
        <w:trPr>
          <w:cantSplit/>
        </w:trPr>
        <w:tc>
          <w:tcPr>
            <w:tcW w:w="2376" w:type="dxa"/>
            <w:vMerge/>
            <w:tcBorders>
              <w:left w:val="single" w:sz="4" w:space="0" w:color="auto"/>
              <w:bottom w:val="single" w:sz="4" w:space="0" w:color="auto"/>
              <w:right w:val="single" w:sz="4" w:space="0" w:color="auto"/>
            </w:tcBorders>
          </w:tcPr>
          <w:p w14:paraId="0066CBFF"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2ACAEE3" w14:textId="77777777" w:rsidR="004E3AC5" w:rsidRPr="00BE28C4" w:rsidRDefault="00907ADD">
            <w:pPr>
              <w:pStyle w:val="TableText10"/>
              <w:tabs>
                <w:tab w:val="left" w:pos="567"/>
              </w:tabs>
              <w:rPr>
                <w:sz w:val="22"/>
                <w:szCs w:val="22"/>
              </w:rPr>
            </w:pPr>
            <w:r w:rsidRPr="00BE28C4">
              <w:rPr>
                <w:sz w:val="22"/>
                <w:szCs w:val="22"/>
              </w:rPr>
              <w:t>Częstość nieznana</w:t>
            </w:r>
          </w:p>
        </w:tc>
        <w:tc>
          <w:tcPr>
            <w:tcW w:w="4554" w:type="dxa"/>
            <w:tcBorders>
              <w:top w:val="single" w:sz="4" w:space="0" w:color="auto"/>
              <w:left w:val="single" w:sz="4" w:space="0" w:color="auto"/>
              <w:bottom w:val="single" w:sz="4" w:space="0" w:color="auto"/>
              <w:right w:val="single" w:sz="4" w:space="0" w:color="auto"/>
            </w:tcBorders>
          </w:tcPr>
          <w:p w14:paraId="35BDE540" w14:textId="77777777" w:rsidR="004E3AC5" w:rsidRPr="00BE28C4" w:rsidRDefault="00907ADD">
            <w:pPr>
              <w:pStyle w:val="TableText10"/>
              <w:tabs>
                <w:tab w:val="left" w:pos="567"/>
              </w:tabs>
              <w:ind w:right="-126"/>
              <w:rPr>
                <w:sz w:val="22"/>
                <w:szCs w:val="22"/>
              </w:rPr>
            </w:pPr>
            <w:r w:rsidRPr="00BE28C4">
              <w:rPr>
                <w:sz w:val="22"/>
                <w:szCs w:val="22"/>
              </w:rPr>
              <w:t>Dystonia, zaburzenia pamięci, parkinsonizm, niepokój ruchowy, zespół serotoninowy****</w:t>
            </w:r>
          </w:p>
        </w:tc>
      </w:tr>
      <w:tr w:rsidR="00BE28C4" w:rsidRPr="00BE28C4" w14:paraId="2FC7D191" w14:textId="77777777" w:rsidTr="00C313CE">
        <w:trPr>
          <w:cantSplit/>
          <w:trHeight w:val="759"/>
        </w:trPr>
        <w:tc>
          <w:tcPr>
            <w:tcW w:w="2376" w:type="dxa"/>
            <w:tcBorders>
              <w:top w:val="single" w:sz="4" w:space="0" w:color="auto"/>
              <w:left w:val="single" w:sz="4" w:space="0" w:color="auto"/>
              <w:right w:val="single" w:sz="4" w:space="0" w:color="auto"/>
            </w:tcBorders>
          </w:tcPr>
          <w:p w14:paraId="06ADC4F0" w14:textId="77777777" w:rsidR="004E3AC5" w:rsidRPr="00BE28C4" w:rsidRDefault="00907ADD">
            <w:pPr>
              <w:pStyle w:val="TableText10"/>
              <w:tabs>
                <w:tab w:val="left" w:pos="567"/>
              </w:tabs>
              <w:rPr>
                <w:sz w:val="22"/>
                <w:szCs w:val="22"/>
              </w:rPr>
            </w:pPr>
            <w:r w:rsidRPr="00BE28C4">
              <w:rPr>
                <w:sz w:val="22"/>
                <w:szCs w:val="22"/>
              </w:rPr>
              <w:t>Zaburzenia oka</w:t>
            </w:r>
          </w:p>
        </w:tc>
        <w:tc>
          <w:tcPr>
            <w:tcW w:w="2268" w:type="dxa"/>
            <w:tcBorders>
              <w:top w:val="single" w:sz="4" w:space="0" w:color="auto"/>
              <w:left w:val="single" w:sz="4" w:space="0" w:color="auto"/>
              <w:right w:val="single" w:sz="4" w:space="0" w:color="auto"/>
            </w:tcBorders>
          </w:tcPr>
          <w:p w14:paraId="5368E34F" w14:textId="77777777" w:rsidR="004E3AC5" w:rsidRPr="00BE28C4" w:rsidRDefault="00907ADD">
            <w:pPr>
              <w:pStyle w:val="TableText10"/>
              <w:tabs>
                <w:tab w:val="left" w:pos="567"/>
              </w:tabs>
              <w:rPr>
                <w:sz w:val="22"/>
                <w:szCs w:val="22"/>
              </w:rPr>
            </w:pPr>
            <w:r w:rsidRPr="00BE28C4">
              <w:rPr>
                <w:sz w:val="22"/>
                <w:szCs w:val="22"/>
              </w:rPr>
              <w:t>Częstość nieznana</w:t>
            </w:r>
          </w:p>
          <w:p w14:paraId="79E52969" w14:textId="77777777" w:rsidR="004E3AC5" w:rsidRPr="00BE28C4" w:rsidRDefault="004E3AC5">
            <w:pPr>
              <w:pStyle w:val="TableText10"/>
              <w:tabs>
                <w:tab w:val="left" w:pos="567"/>
              </w:tabs>
              <w:rPr>
                <w:sz w:val="22"/>
                <w:szCs w:val="22"/>
              </w:rPr>
            </w:pPr>
          </w:p>
        </w:tc>
        <w:tc>
          <w:tcPr>
            <w:tcW w:w="4554" w:type="dxa"/>
            <w:tcBorders>
              <w:top w:val="single" w:sz="4" w:space="0" w:color="auto"/>
              <w:left w:val="single" w:sz="4" w:space="0" w:color="auto"/>
              <w:right w:val="single" w:sz="4" w:space="0" w:color="auto"/>
            </w:tcBorders>
          </w:tcPr>
          <w:p w14:paraId="67728792" w14:textId="77777777" w:rsidR="004E3AC5" w:rsidRPr="00BE28C4" w:rsidRDefault="00907ADD">
            <w:pPr>
              <w:pStyle w:val="TableText10"/>
              <w:tabs>
                <w:tab w:val="left" w:pos="567"/>
              </w:tabs>
              <w:rPr>
                <w:sz w:val="22"/>
                <w:szCs w:val="22"/>
              </w:rPr>
            </w:pPr>
            <w:r w:rsidRPr="00BE28C4">
              <w:rPr>
                <w:sz w:val="22"/>
                <w:szCs w:val="22"/>
              </w:rPr>
              <w:t xml:space="preserve">Podrażnienie oczu, ból gałki ocznej lub astenopia, obrzęk </w:t>
            </w:r>
            <w:proofErr w:type="spellStart"/>
            <w:r w:rsidRPr="00BE28C4">
              <w:rPr>
                <w:sz w:val="22"/>
                <w:szCs w:val="22"/>
              </w:rPr>
              <w:t>okołooczodołowy</w:t>
            </w:r>
            <w:proofErr w:type="spellEnd"/>
            <w:r w:rsidRPr="00BE28C4">
              <w:rPr>
                <w:sz w:val="22"/>
                <w:szCs w:val="22"/>
              </w:rPr>
              <w:t>, nadmierne łzawienie, światłowstręt, nieostre widzenie</w:t>
            </w:r>
          </w:p>
        </w:tc>
      </w:tr>
      <w:tr w:rsidR="00BE28C4" w:rsidRPr="00BE28C4" w14:paraId="51AD9FF4" w14:textId="77777777" w:rsidTr="00C313CE">
        <w:trPr>
          <w:cantSplit/>
        </w:trPr>
        <w:tc>
          <w:tcPr>
            <w:tcW w:w="2376" w:type="dxa"/>
            <w:vMerge w:val="restart"/>
            <w:tcBorders>
              <w:top w:val="single" w:sz="4" w:space="0" w:color="auto"/>
              <w:left w:val="single" w:sz="4" w:space="0" w:color="auto"/>
              <w:right w:val="single" w:sz="4" w:space="0" w:color="auto"/>
            </w:tcBorders>
          </w:tcPr>
          <w:p w14:paraId="1FBF863D" w14:textId="77777777" w:rsidR="004E3AC5" w:rsidRPr="00BE28C4" w:rsidRDefault="00907ADD">
            <w:pPr>
              <w:pStyle w:val="TableText10"/>
              <w:tabs>
                <w:tab w:val="left" w:pos="567"/>
              </w:tabs>
              <w:rPr>
                <w:sz w:val="22"/>
                <w:szCs w:val="22"/>
              </w:rPr>
            </w:pPr>
            <w:r w:rsidRPr="00BE28C4">
              <w:rPr>
                <w:sz w:val="22"/>
                <w:szCs w:val="22"/>
              </w:rPr>
              <w:t xml:space="preserve">Zaburzenia ucha i błędnika </w:t>
            </w:r>
          </w:p>
        </w:tc>
        <w:tc>
          <w:tcPr>
            <w:tcW w:w="2268" w:type="dxa"/>
            <w:tcBorders>
              <w:top w:val="single" w:sz="4" w:space="0" w:color="auto"/>
              <w:left w:val="single" w:sz="4" w:space="0" w:color="auto"/>
              <w:bottom w:val="single" w:sz="4" w:space="0" w:color="auto"/>
              <w:right w:val="single" w:sz="4" w:space="0" w:color="auto"/>
            </w:tcBorders>
          </w:tcPr>
          <w:p w14:paraId="118D8E7B" w14:textId="77777777" w:rsidR="004E3AC5" w:rsidRPr="00BE28C4" w:rsidRDefault="00907ADD">
            <w:pPr>
              <w:pStyle w:val="TableText10"/>
              <w:tabs>
                <w:tab w:val="left" w:pos="567"/>
              </w:tabs>
              <w:rPr>
                <w:sz w:val="22"/>
                <w:szCs w:val="22"/>
              </w:rPr>
            </w:pPr>
            <w:r w:rsidRPr="00BE28C4">
              <w:rPr>
                <w:sz w:val="22"/>
                <w:szCs w:val="22"/>
              </w:rPr>
              <w:t>Często</w:t>
            </w:r>
          </w:p>
        </w:tc>
        <w:tc>
          <w:tcPr>
            <w:tcW w:w="4554" w:type="dxa"/>
            <w:tcBorders>
              <w:top w:val="single" w:sz="4" w:space="0" w:color="auto"/>
              <w:left w:val="single" w:sz="4" w:space="0" w:color="auto"/>
              <w:bottom w:val="single" w:sz="4" w:space="0" w:color="auto"/>
              <w:right w:val="single" w:sz="4" w:space="0" w:color="auto"/>
            </w:tcBorders>
          </w:tcPr>
          <w:p w14:paraId="7E9FC09F" w14:textId="77777777" w:rsidR="004E3AC5" w:rsidRPr="00BE28C4" w:rsidRDefault="00907ADD">
            <w:pPr>
              <w:pStyle w:val="TableText10"/>
              <w:tabs>
                <w:tab w:val="left" w:pos="567"/>
              </w:tabs>
              <w:rPr>
                <w:sz w:val="22"/>
                <w:szCs w:val="22"/>
              </w:rPr>
            </w:pPr>
            <w:r w:rsidRPr="00BE28C4">
              <w:rPr>
                <w:sz w:val="22"/>
                <w:szCs w:val="22"/>
              </w:rPr>
              <w:t>Szumy uszne, zawroty głowy</w:t>
            </w:r>
          </w:p>
        </w:tc>
      </w:tr>
      <w:tr w:rsidR="00BE28C4" w:rsidRPr="00BE28C4" w14:paraId="6FC56797" w14:textId="77777777" w:rsidTr="00C313CE">
        <w:trPr>
          <w:cantSplit/>
        </w:trPr>
        <w:tc>
          <w:tcPr>
            <w:tcW w:w="2376" w:type="dxa"/>
            <w:vMerge/>
            <w:tcBorders>
              <w:left w:val="single" w:sz="4" w:space="0" w:color="auto"/>
              <w:right w:val="single" w:sz="4" w:space="0" w:color="auto"/>
            </w:tcBorders>
          </w:tcPr>
          <w:p w14:paraId="0CDE27CA"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1A9232F" w14:textId="77777777" w:rsidR="004E3AC5" w:rsidRPr="00BE28C4" w:rsidRDefault="00907ADD">
            <w:pPr>
              <w:pStyle w:val="TableText10"/>
              <w:tabs>
                <w:tab w:val="left" w:pos="567"/>
              </w:tabs>
              <w:rPr>
                <w:sz w:val="22"/>
                <w:szCs w:val="22"/>
              </w:rPr>
            </w:pPr>
            <w:r w:rsidRPr="00BE28C4">
              <w:rPr>
                <w:sz w:val="22"/>
                <w:szCs w:val="22"/>
              </w:rPr>
              <w:t>Niezbyt często</w:t>
            </w:r>
          </w:p>
        </w:tc>
        <w:tc>
          <w:tcPr>
            <w:tcW w:w="4554" w:type="dxa"/>
            <w:tcBorders>
              <w:top w:val="single" w:sz="4" w:space="0" w:color="auto"/>
              <w:left w:val="single" w:sz="4" w:space="0" w:color="auto"/>
              <w:bottom w:val="single" w:sz="4" w:space="0" w:color="auto"/>
              <w:right w:val="single" w:sz="4" w:space="0" w:color="auto"/>
            </w:tcBorders>
          </w:tcPr>
          <w:p w14:paraId="10B7A1C3" w14:textId="77777777" w:rsidR="004E3AC5" w:rsidRPr="00BE28C4" w:rsidRDefault="00907ADD">
            <w:pPr>
              <w:pStyle w:val="TableText10"/>
              <w:tabs>
                <w:tab w:val="left" w:pos="567"/>
              </w:tabs>
              <w:rPr>
                <w:sz w:val="22"/>
                <w:szCs w:val="22"/>
              </w:rPr>
            </w:pPr>
            <w:r w:rsidRPr="00BE28C4">
              <w:rPr>
                <w:sz w:val="22"/>
                <w:szCs w:val="22"/>
              </w:rPr>
              <w:t>Choroba lokomocyjna</w:t>
            </w:r>
          </w:p>
        </w:tc>
      </w:tr>
      <w:tr w:rsidR="00BE28C4" w:rsidRPr="00BE28C4" w14:paraId="0E52083D" w14:textId="77777777" w:rsidTr="00C313CE">
        <w:trPr>
          <w:cantSplit/>
        </w:trPr>
        <w:tc>
          <w:tcPr>
            <w:tcW w:w="2376" w:type="dxa"/>
            <w:vMerge/>
            <w:tcBorders>
              <w:left w:val="single" w:sz="4" w:space="0" w:color="auto"/>
              <w:bottom w:val="single" w:sz="4" w:space="0" w:color="auto"/>
              <w:right w:val="single" w:sz="4" w:space="0" w:color="auto"/>
            </w:tcBorders>
          </w:tcPr>
          <w:p w14:paraId="0323FD13"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6B08710" w14:textId="77777777" w:rsidR="004E3AC5" w:rsidRPr="00BE28C4" w:rsidRDefault="00907ADD">
            <w:pPr>
              <w:pStyle w:val="TableText10"/>
              <w:tabs>
                <w:tab w:val="left" w:pos="567"/>
              </w:tabs>
              <w:rPr>
                <w:sz w:val="22"/>
                <w:szCs w:val="22"/>
              </w:rPr>
            </w:pPr>
            <w:r w:rsidRPr="00BE28C4">
              <w:rPr>
                <w:sz w:val="22"/>
              </w:rPr>
              <w:t>Częstość nieznana</w:t>
            </w:r>
          </w:p>
        </w:tc>
        <w:tc>
          <w:tcPr>
            <w:tcW w:w="4554" w:type="dxa"/>
            <w:tcBorders>
              <w:top w:val="single" w:sz="4" w:space="0" w:color="auto"/>
              <w:left w:val="single" w:sz="4" w:space="0" w:color="auto"/>
              <w:bottom w:val="single" w:sz="4" w:space="0" w:color="auto"/>
              <w:right w:val="single" w:sz="4" w:space="0" w:color="auto"/>
            </w:tcBorders>
          </w:tcPr>
          <w:p w14:paraId="0D3A3D65" w14:textId="77777777" w:rsidR="004E3AC5" w:rsidRPr="00BE28C4" w:rsidRDefault="00907ADD">
            <w:pPr>
              <w:pStyle w:val="TableText10"/>
              <w:tabs>
                <w:tab w:val="left" w:pos="567"/>
              </w:tabs>
              <w:rPr>
                <w:sz w:val="22"/>
                <w:szCs w:val="22"/>
              </w:rPr>
            </w:pPr>
            <w:r w:rsidRPr="00BE28C4">
              <w:rPr>
                <w:sz w:val="22"/>
                <w:szCs w:val="22"/>
              </w:rPr>
              <w:t>Dyskomfort w obrębie ucha, ból ucha</w:t>
            </w:r>
          </w:p>
        </w:tc>
      </w:tr>
      <w:tr w:rsidR="00BE28C4" w:rsidRPr="00BE28C4" w14:paraId="73DB7944" w14:textId="77777777" w:rsidTr="00C313CE">
        <w:trPr>
          <w:cantSplit/>
        </w:trPr>
        <w:tc>
          <w:tcPr>
            <w:tcW w:w="2376" w:type="dxa"/>
            <w:vMerge w:val="restart"/>
            <w:tcBorders>
              <w:top w:val="single" w:sz="4" w:space="0" w:color="auto"/>
              <w:left w:val="single" w:sz="4" w:space="0" w:color="auto"/>
              <w:right w:val="single" w:sz="4" w:space="0" w:color="auto"/>
            </w:tcBorders>
          </w:tcPr>
          <w:p w14:paraId="7C12B6A4" w14:textId="77777777" w:rsidR="004E3AC5" w:rsidRPr="00BE28C4" w:rsidRDefault="00907ADD">
            <w:pPr>
              <w:pStyle w:val="TableText10"/>
              <w:tabs>
                <w:tab w:val="left" w:pos="567"/>
              </w:tabs>
              <w:rPr>
                <w:sz w:val="22"/>
                <w:szCs w:val="22"/>
              </w:rPr>
            </w:pPr>
            <w:r w:rsidRPr="00BE28C4">
              <w:rPr>
                <w:sz w:val="22"/>
                <w:szCs w:val="22"/>
              </w:rPr>
              <w:t>Choroby serca</w:t>
            </w:r>
          </w:p>
        </w:tc>
        <w:tc>
          <w:tcPr>
            <w:tcW w:w="2268" w:type="dxa"/>
            <w:tcBorders>
              <w:top w:val="single" w:sz="4" w:space="0" w:color="auto"/>
              <w:left w:val="single" w:sz="4" w:space="0" w:color="auto"/>
              <w:bottom w:val="single" w:sz="4" w:space="0" w:color="auto"/>
              <w:right w:val="single" w:sz="4" w:space="0" w:color="auto"/>
            </w:tcBorders>
          </w:tcPr>
          <w:p w14:paraId="74F5B167" w14:textId="77777777" w:rsidR="004E3AC5" w:rsidRPr="00BE28C4" w:rsidRDefault="00907ADD">
            <w:pPr>
              <w:pStyle w:val="TableText10"/>
              <w:tabs>
                <w:tab w:val="left" w:pos="567"/>
              </w:tabs>
              <w:rPr>
                <w:sz w:val="22"/>
                <w:szCs w:val="22"/>
              </w:rPr>
            </w:pPr>
            <w:r w:rsidRPr="00BE28C4">
              <w:rPr>
                <w:sz w:val="22"/>
                <w:szCs w:val="22"/>
              </w:rPr>
              <w:t>Często</w:t>
            </w:r>
          </w:p>
        </w:tc>
        <w:tc>
          <w:tcPr>
            <w:tcW w:w="4554" w:type="dxa"/>
            <w:tcBorders>
              <w:top w:val="single" w:sz="4" w:space="0" w:color="auto"/>
              <w:left w:val="single" w:sz="4" w:space="0" w:color="auto"/>
              <w:bottom w:val="single" w:sz="4" w:space="0" w:color="auto"/>
              <w:right w:val="single" w:sz="4" w:space="0" w:color="auto"/>
            </w:tcBorders>
          </w:tcPr>
          <w:p w14:paraId="10A3B821" w14:textId="77777777" w:rsidR="004E3AC5" w:rsidRPr="00BE28C4" w:rsidRDefault="00907ADD">
            <w:pPr>
              <w:pStyle w:val="TableText10"/>
              <w:tabs>
                <w:tab w:val="left" w:pos="567"/>
              </w:tabs>
              <w:rPr>
                <w:sz w:val="22"/>
                <w:szCs w:val="22"/>
              </w:rPr>
            </w:pPr>
            <w:r w:rsidRPr="00BE28C4">
              <w:rPr>
                <w:sz w:val="22"/>
                <w:szCs w:val="22"/>
              </w:rPr>
              <w:t>Kołatanie serca, zwiększona częstość akcji serca</w:t>
            </w:r>
          </w:p>
        </w:tc>
      </w:tr>
      <w:tr w:rsidR="00BE28C4" w:rsidRPr="00BE28C4" w14:paraId="01BE54F9" w14:textId="77777777" w:rsidTr="00C313CE">
        <w:trPr>
          <w:cantSplit/>
          <w:trHeight w:val="308"/>
        </w:trPr>
        <w:tc>
          <w:tcPr>
            <w:tcW w:w="2376" w:type="dxa"/>
            <w:vMerge/>
            <w:tcBorders>
              <w:left w:val="single" w:sz="4" w:space="0" w:color="auto"/>
              <w:right w:val="single" w:sz="4" w:space="0" w:color="auto"/>
            </w:tcBorders>
          </w:tcPr>
          <w:p w14:paraId="45C81725"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right w:val="single" w:sz="4" w:space="0" w:color="auto"/>
            </w:tcBorders>
          </w:tcPr>
          <w:p w14:paraId="282CC095" w14:textId="77777777" w:rsidR="004E3AC5" w:rsidRPr="00BE28C4" w:rsidRDefault="00907ADD">
            <w:pPr>
              <w:pStyle w:val="TableText10"/>
              <w:tabs>
                <w:tab w:val="left" w:pos="567"/>
              </w:tabs>
              <w:rPr>
                <w:sz w:val="22"/>
                <w:szCs w:val="22"/>
              </w:rPr>
            </w:pPr>
            <w:r w:rsidRPr="00BE28C4">
              <w:rPr>
                <w:sz w:val="22"/>
                <w:szCs w:val="22"/>
              </w:rPr>
              <w:t>Niezbyt często</w:t>
            </w:r>
          </w:p>
        </w:tc>
        <w:tc>
          <w:tcPr>
            <w:tcW w:w="4554" w:type="dxa"/>
            <w:tcBorders>
              <w:top w:val="single" w:sz="4" w:space="0" w:color="auto"/>
              <w:left w:val="single" w:sz="4" w:space="0" w:color="auto"/>
              <w:right w:val="single" w:sz="4" w:space="0" w:color="auto"/>
            </w:tcBorders>
          </w:tcPr>
          <w:p w14:paraId="57E4DB4F" w14:textId="77777777" w:rsidR="004E3AC5" w:rsidRPr="00BE28C4" w:rsidRDefault="00907ADD">
            <w:pPr>
              <w:pStyle w:val="TableText10"/>
              <w:tabs>
                <w:tab w:val="left" w:pos="567"/>
              </w:tabs>
              <w:rPr>
                <w:sz w:val="22"/>
                <w:szCs w:val="22"/>
              </w:rPr>
            </w:pPr>
            <w:r w:rsidRPr="00BE28C4">
              <w:rPr>
                <w:sz w:val="22"/>
                <w:szCs w:val="22"/>
              </w:rPr>
              <w:t>Częstoskurcz</w:t>
            </w:r>
          </w:p>
        </w:tc>
      </w:tr>
      <w:tr w:rsidR="00BE28C4" w:rsidRPr="00BE28C4" w14:paraId="2999C845" w14:textId="77777777" w:rsidTr="00C313CE">
        <w:trPr>
          <w:cantSplit/>
        </w:trPr>
        <w:tc>
          <w:tcPr>
            <w:tcW w:w="2376" w:type="dxa"/>
            <w:vMerge w:val="restart"/>
            <w:tcBorders>
              <w:top w:val="single" w:sz="4" w:space="0" w:color="auto"/>
              <w:left w:val="single" w:sz="4" w:space="0" w:color="auto"/>
              <w:right w:val="single" w:sz="4" w:space="0" w:color="auto"/>
            </w:tcBorders>
          </w:tcPr>
          <w:p w14:paraId="7DCE7DD0" w14:textId="77777777" w:rsidR="004E3AC5" w:rsidRPr="00BE28C4" w:rsidRDefault="00907ADD">
            <w:pPr>
              <w:pStyle w:val="TableText10"/>
              <w:tabs>
                <w:tab w:val="left" w:pos="567"/>
              </w:tabs>
              <w:rPr>
                <w:sz w:val="22"/>
                <w:szCs w:val="22"/>
              </w:rPr>
            </w:pPr>
            <w:r w:rsidRPr="00BE28C4">
              <w:rPr>
                <w:sz w:val="22"/>
                <w:szCs w:val="22"/>
              </w:rPr>
              <w:t xml:space="preserve">Zaburzenia naczyniowe </w:t>
            </w:r>
          </w:p>
        </w:tc>
        <w:tc>
          <w:tcPr>
            <w:tcW w:w="2268" w:type="dxa"/>
            <w:tcBorders>
              <w:top w:val="single" w:sz="4" w:space="0" w:color="auto"/>
              <w:left w:val="single" w:sz="4" w:space="0" w:color="auto"/>
              <w:bottom w:val="single" w:sz="4" w:space="0" w:color="auto"/>
              <w:right w:val="single" w:sz="4" w:space="0" w:color="auto"/>
            </w:tcBorders>
          </w:tcPr>
          <w:p w14:paraId="75BD9EF4" w14:textId="77777777" w:rsidR="004E3AC5" w:rsidRPr="00BE28C4" w:rsidRDefault="00907ADD">
            <w:pPr>
              <w:pStyle w:val="TableText10"/>
              <w:tabs>
                <w:tab w:val="left" w:pos="567"/>
              </w:tabs>
              <w:rPr>
                <w:sz w:val="22"/>
                <w:szCs w:val="22"/>
              </w:rPr>
            </w:pPr>
            <w:r w:rsidRPr="00BE28C4">
              <w:rPr>
                <w:sz w:val="22"/>
                <w:szCs w:val="22"/>
              </w:rPr>
              <w:t xml:space="preserve">Często </w:t>
            </w:r>
          </w:p>
        </w:tc>
        <w:tc>
          <w:tcPr>
            <w:tcW w:w="4554" w:type="dxa"/>
            <w:tcBorders>
              <w:top w:val="single" w:sz="4" w:space="0" w:color="auto"/>
              <w:left w:val="single" w:sz="4" w:space="0" w:color="auto"/>
              <w:bottom w:val="single" w:sz="4" w:space="0" w:color="auto"/>
              <w:right w:val="single" w:sz="4" w:space="0" w:color="auto"/>
            </w:tcBorders>
          </w:tcPr>
          <w:p w14:paraId="0687FA4B" w14:textId="77777777" w:rsidR="004E3AC5" w:rsidRPr="00BE28C4" w:rsidRDefault="00907ADD">
            <w:pPr>
              <w:pStyle w:val="TableText10"/>
              <w:tabs>
                <w:tab w:val="left" w:pos="567"/>
              </w:tabs>
              <w:rPr>
                <w:sz w:val="22"/>
                <w:szCs w:val="22"/>
              </w:rPr>
            </w:pPr>
            <w:r w:rsidRPr="00BE28C4">
              <w:rPr>
                <w:sz w:val="22"/>
                <w:szCs w:val="22"/>
              </w:rPr>
              <w:t>Uderzenia gorąca, nadciśnienie*****, podwyższone ciśnienie tętnicze krwi</w:t>
            </w:r>
          </w:p>
        </w:tc>
      </w:tr>
      <w:tr w:rsidR="00BE28C4" w:rsidRPr="00BE28C4" w14:paraId="6A52F809" w14:textId="77777777" w:rsidTr="00C313CE">
        <w:trPr>
          <w:cantSplit/>
          <w:trHeight w:val="144"/>
        </w:trPr>
        <w:tc>
          <w:tcPr>
            <w:tcW w:w="2376" w:type="dxa"/>
            <w:vMerge/>
            <w:tcBorders>
              <w:left w:val="single" w:sz="4" w:space="0" w:color="auto"/>
              <w:right w:val="single" w:sz="4" w:space="0" w:color="auto"/>
            </w:tcBorders>
          </w:tcPr>
          <w:p w14:paraId="0BA4BB50"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9B2A109" w14:textId="77777777" w:rsidR="004E3AC5" w:rsidRPr="00BE28C4" w:rsidRDefault="00907ADD">
            <w:pPr>
              <w:pStyle w:val="TableText10"/>
              <w:tabs>
                <w:tab w:val="left" w:pos="567"/>
              </w:tabs>
              <w:rPr>
                <w:sz w:val="22"/>
                <w:szCs w:val="22"/>
              </w:rPr>
            </w:pPr>
            <w:r w:rsidRPr="00BE28C4">
              <w:rPr>
                <w:sz w:val="22"/>
                <w:szCs w:val="22"/>
              </w:rPr>
              <w:t>Częstość nieznana</w:t>
            </w:r>
          </w:p>
        </w:tc>
        <w:tc>
          <w:tcPr>
            <w:tcW w:w="4554" w:type="dxa"/>
            <w:tcBorders>
              <w:top w:val="single" w:sz="4" w:space="0" w:color="auto"/>
              <w:left w:val="single" w:sz="4" w:space="0" w:color="auto"/>
              <w:bottom w:val="single" w:sz="4" w:space="0" w:color="auto"/>
              <w:right w:val="single" w:sz="4" w:space="0" w:color="auto"/>
            </w:tcBorders>
          </w:tcPr>
          <w:p w14:paraId="64D8C037" w14:textId="77777777" w:rsidR="004E3AC5" w:rsidRPr="00BE28C4" w:rsidRDefault="00907ADD">
            <w:pPr>
              <w:pStyle w:val="TableText10"/>
              <w:tabs>
                <w:tab w:val="left" w:pos="567"/>
              </w:tabs>
              <w:rPr>
                <w:sz w:val="22"/>
                <w:szCs w:val="22"/>
              </w:rPr>
            </w:pPr>
            <w:r w:rsidRPr="00BE28C4">
              <w:rPr>
                <w:sz w:val="22"/>
                <w:szCs w:val="22"/>
              </w:rPr>
              <w:t>Wahania ciśnienia tętniczego</w:t>
            </w:r>
          </w:p>
        </w:tc>
      </w:tr>
      <w:tr w:rsidR="00BE28C4" w:rsidRPr="00BE28C4" w14:paraId="7835BFCF" w14:textId="77777777" w:rsidTr="00C313CE">
        <w:trPr>
          <w:cantSplit/>
          <w:trHeight w:val="1152"/>
        </w:trPr>
        <w:tc>
          <w:tcPr>
            <w:tcW w:w="2376" w:type="dxa"/>
            <w:tcBorders>
              <w:top w:val="single" w:sz="4" w:space="0" w:color="auto"/>
              <w:left w:val="single" w:sz="4" w:space="0" w:color="auto"/>
              <w:right w:val="single" w:sz="4" w:space="0" w:color="auto"/>
            </w:tcBorders>
          </w:tcPr>
          <w:p w14:paraId="0C026D5B" w14:textId="77777777" w:rsidR="004E3AC5" w:rsidRPr="00BE28C4" w:rsidRDefault="00907ADD">
            <w:pPr>
              <w:pStyle w:val="TableText10"/>
              <w:tabs>
                <w:tab w:val="left" w:pos="567"/>
              </w:tabs>
              <w:rPr>
                <w:sz w:val="22"/>
                <w:szCs w:val="22"/>
              </w:rPr>
            </w:pPr>
            <w:r w:rsidRPr="00BE28C4">
              <w:rPr>
                <w:sz w:val="22"/>
                <w:szCs w:val="22"/>
              </w:rPr>
              <w:t>Zaburzenia układu oddechowego, klatki piersiowej i śródpiersia</w:t>
            </w:r>
          </w:p>
        </w:tc>
        <w:tc>
          <w:tcPr>
            <w:tcW w:w="2268" w:type="dxa"/>
            <w:tcBorders>
              <w:top w:val="single" w:sz="4" w:space="0" w:color="auto"/>
              <w:left w:val="single" w:sz="4" w:space="0" w:color="auto"/>
              <w:right w:val="single" w:sz="4" w:space="0" w:color="auto"/>
            </w:tcBorders>
          </w:tcPr>
          <w:p w14:paraId="5429E7BE" w14:textId="77777777" w:rsidR="004E3AC5" w:rsidRPr="00BE28C4" w:rsidRDefault="00907ADD">
            <w:pPr>
              <w:pStyle w:val="TableText10"/>
              <w:tabs>
                <w:tab w:val="left" w:pos="567"/>
              </w:tabs>
              <w:rPr>
                <w:sz w:val="22"/>
                <w:szCs w:val="22"/>
              </w:rPr>
            </w:pPr>
            <w:r w:rsidRPr="00BE28C4">
              <w:rPr>
                <w:sz w:val="22"/>
                <w:szCs w:val="22"/>
              </w:rPr>
              <w:t>Częstość nieznana</w:t>
            </w:r>
          </w:p>
        </w:tc>
        <w:tc>
          <w:tcPr>
            <w:tcW w:w="4554" w:type="dxa"/>
            <w:tcBorders>
              <w:top w:val="single" w:sz="4" w:space="0" w:color="auto"/>
              <w:left w:val="single" w:sz="4" w:space="0" w:color="auto"/>
              <w:right w:val="single" w:sz="4" w:space="0" w:color="auto"/>
            </w:tcBorders>
          </w:tcPr>
          <w:p w14:paraId="66AC39E4" w14:textId="77777777" w:rsidR="004E3AC5" w:rsidRPr="00BE28C4" w:rsidRDefault="00907ADD">
            <w:pPr>
              <w:pStyle w:val="TableText10"/>
              <w:tabs>
                <w:tab w:val="left" w:pos="567"/>
              </w:tabs>
              <w:rPr>
                <w:sz w:val="22"/>
                <w:szCs w:val="22"/>
              </w:rPr>
            </w:pPr>
            <w:r w:rsidRPr="00BE28C4">
              <w:rPr>
                <w:sz w:val="22"/>
                <w:szCs w:val="22"/>
              </w:rPr>
              <w:t xml:space="preserve">Kaszel, </w:t>
            </w:r>
            <w:proofErr w:type="spellStart"/>
            <w:r w:rsidRPr="00BE28C4">
              <w:rPr>
                <w:sz w:val="22"/>
                <w:szCs w:val="22"/>
              </w:rPr>
              <w:t>dysfonia</w:t>
            </w:r>
            <w:proofErr w:type="spellEnd"/>
            <w:r w:rsidRPr="00BE28C4">
              <w:rPr>
                <w:sz w:val="22"/>
                <w:szCs w:val="22"/>
              </w:rPr>
              <w:t xml:space="preserve">, duszność, </w:t>
            </w:r>
            <w:bookmarkStart w:id="4" w:name="_Hlk19017797"/>
            <w:r w:rsidRPr="00BE28C4">
              <w:rPr>
                <w:sz w:val="22"/>
                <w:szCs w:val="22"/>
              </w:rPr>
              <w:t>przekrwienie błony śluzowej nosa</w:t>
            </w:r>
            <w:bookmarkEnd w:id="4"/>
            <w:r w:rsidRPr="00BE28C4">
              <w:rPr>
                <w:sz w:val="22"/>
                <w:szCs w:val="22"/>
              </w:rPr>
              <w:t xml:space="preserve">, </w:t>
            </w:r>
            <w:bookmarkStart w:id="5" w:name="_Hlk19017783"/>
            <w:r w:rsidRPr="00BE28C4">
              <w:rPr>
                <w:sz w:val="22"/>
                <w:szCs w:val="22"/>
              </w:rPr>
              <w:t>dyskomfort w obrębie nosa, ból części ustnej gardła, nieżyt nosa, zaburzenia dotyczące zatok przynosowych, kichanie, ziewanie</w:t>
            </w:r>
            <w:bookmarkEnd w:id="5"/>
          </w:p>
        </w:tc>
      </w:tr>
      <w:tr w:rsidR="00BE28C4" w:rsidRPr="00BE28C4" w14:paraId="1449AC90" w14:textId="77777777" w:rsidTr="00C313CE">
        <w:trPr>
          <w:cantSplit/>
        </w:trPr>
        <w:tc>
          <w:tcPr>
            <w:tcW w:w="2376" w:type="dxa"/>
            <w:vMerge w:val="restart"/>
            <w:tcBorders>
              <w:top w:val="single" w:sz="4" w:space="0" w:color="auto"/>
              <w:left w:val="single" w:sz="4" w:space="0" w:color="auto"/>
              <w:right w:val="single" w:sz="4" w:space="0" w:color="auto"/>
            </w:tcBorders>
          </w:tcPr>
          <w:p w14:paraId="410C5C30" w14:textId="77777777" w:rsidR="004E3AC5" w:rsidRPr="00BE28C4" w:rsidRDefault="00907ADD">
            <w:pPr>
              <w:pStyle w:val="TableText10"/>
              <w:tabs>
                <w:tab w:val="left" w:pos="567"/>
              </w:tabs>
              <w:rPr>
                <w:sz w:val="22"/>
                <w:szCs w:val="22"/>
              </w:rPr>
            </w:pPr>
            <w:r w:rsidRPr="00BE28C4">
              <w:rPr>
                <w:sz w:val="22"/>
                <w:szCs w:val="22"/>
              </w:rPr>
              <w:lastRenderedPageBreak/>
              <w:t xml:space="preserve">Zaburzenia żołądka i jelit </w:t>
            </w:r>
          </w:p>
        </w:tc>
        <w:tc>
          <w:tcPr>
            <w:tcW w:w="2268" w:type="dxa"/>
            <w:tcBorders>
              <w:top w:val="single" w:sz="4" w:space="0" w:color="auto"/>
              <w:left w:val="single" w:sz="4" w:space="0" w:color="auto"/>
              <w:bottom w:val="single" w:sz="4" w:space="0" w:color="auto"/>
              <w:right w:val="single" w:sz="4" w:space="0" w:color="auto"/>
            </w:tcBorders>
          </w:tcPr>
          <w:p w14:paraId="12397E2C" w14:textId="77777777" w:rsidR="004E3AC5" w:rsidRPr="00BE28C4" w:rsidRDefault="00907ADD">
            <w:pPr>
              <w:pStyle w:val="TableText10"/>
              <w:tabs>
                <w:tab w:val="left" w:pos="567"/>
              </w:tabs>
              <w:rPr>
                <w:sz w:val="22"/>
                <w:szCs w:val="22"/>
              </w:rPr>
            </w:pPr>
            <w:r w:rsidRPr="00BE28C4">
              <w:rPr>
                <w:sz w:val="22"/>
                <w:szCs w:val="22"/>
              </w:rPr>
              <w:t xml:space="preserve">Bardzo często </w:t>
            </w:r>
          </w:p>
        </w:tc>
        <w:tc>
          <w:tcPr>
            <w:tcW w:w="4554" w:type="dxa"/>
            <w:tcBorders>
              <w:top w:val="single" w:sz="4" w:space="0" w:color="auto"/>
              <w:left w:val="single" w:sz="4" w:space="0" w:color="auto"/>
              <w:bottom w:val="single" w:sz="4" w:space="0" w:color="auto"/>
              <w:right w:val="single" w:sz="4" w:space="0" w:color="auto"/>
            </w:tcBorders>
          </w:tcPr>
          <w:p w14:paraId="42AA2491" w14:textId="77777777" w:rsidR="004E3AC5" w:rsidRPr="00BE28C4" w:rsidRDefault="00907ADD">
            <w:pPr>
              <w:pStyle w:val="TableText10"/>
              <w:tabs>
                <w:tab w:val="left" w:pos="567"/>
              </w:tabs>
              <w:rPr>
                <w:sz w:val="22"/>
                <w:szCs w:val="22"/>
              </w:rPr>
            </w:pPr>
            <w:r w:rsidRPr="00BE28C4">
              <w:rPr>
                <w:sz w:val="22"/>
                <w:szCs w:val="22"/>
              </w:rPr>
              <w:t>Nudności, zaparcie, wymioty</w:t>
            </w:r>
          </w:p>
        </w:tc>
      </w:tr>
      <w:tr w:rsidR="00BE28C4" w:rsidRPr="00BE28C4" w14:paraId="6BB16C63" w14:textId="77777777" w:rsidTr="00C313CE">
        <w:trPr>
          <w:cantSplit/>
        </w:trPr>
        <w:tc>
          <w:tcPr>
            <w:tcW w:w="2376" w:type="dxa"/>
            <w:vMerge/>
            <w:tcBorders>
              <w:left w:val="single" w:sz="4" w:space="0" w:color="auto"/>
              <w:right w:val="single" w:sz="4" w:space="0" w:color="auto"/>
            </w:tcBorders>
          </w:tcPr>
          <w:p w14:paraId="696DDAA4"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669A69C" w14:textId="77777777" w:rsidR="004E3AC5" w:rsidRPr="00BE28C4" w:rsidRDefault="00907ADD">
            <w:pPr>
              <w:pStyle w:val="TableText10"/>
              <w:tabs>
                <w:tab w:val="left" w:pos="567"/>
              </w:tabs>
              <w:rPr>
                <w:sz w:val="22"/>
                <w:szCs w:val="22"/>
              </w:rPr>
            </w:pPr>
            <w:r w:rsidRPr="00BE28C4">
              <w:rPr>
                <w:sz w:val="22"/>
                <w:szCs w:val="22"/>
              </w:rPr>
              <w:t xml:space="preserve">Często </w:t>
            </w:r>
          </w:p>
        </w:tc>
        <w:tc>
          <w:tcPr>
            <w:tcW w:w="4554" w:type="dxa"/>
            <w:tcBorders>
              <w:top w:val="single" w:sz="4" w:space="0" w:color="auto"/>
              <w:left w:val="single" w:sz="4" w:space="0" w:color="auto"/>
              <w:bottom w:val="single" w:sz="4" w:space="0" w:color="auto"/>
              <w:right w:val="single" w:sz="4" w:space="0" w:color="auto"/>
            </w:tcBorders>
          </w:tcPr>
          <w:p w14:paraId="0E299122" w14:textId="77777777" w:rsidR="004E3AC5" w:rsidRPr="00BE28C4" w:rsidRDefault="00907ADD">
            <w:pPr>
              <w:pStyle w:val="TableText10"/>
              <w:tabs>
                <w:tab w:val="left" w:pos="567"/>
              </w:tabs>
              <w:rPr>
                <w:sz w:val="22"/>
                <w:szCs w:val="22"/>
              </w:rPr>
            </w:pPr>
            <w:r w:rsidRPr="00BE28C4">
              <w:rPr>
                <w:sz w:val="22"/>
                <w:szCs w:val="22"/>
              </w:rPr>
              <w:t>Suchość w jamie ustnej, ból w nadbrzuszu, ból brzucha</w:t>
            </w:r>
          </w:p>
        </w:tc>
      </w:tr>
      <w:tr w:rsidR="00BE28C4" w:rsidRPr="00BE28C4" w14:paraId="0C099887" w14:textId="77777777" w:rsidTr="00C313CE">
        <w:trPr>
          <w:cantSplit/>
        </w:trPr>
        <w:tc>
          <w:tcPr>
            <w:tcW w:w="2376" w:type="dxa"/>
            <w:vMerge/>
            <w:tcBorders>
              <w:left w:val="single" w:sz="4" w:space="0" w:color="auto"/>
              <w:right w:val="single" w:sz="4" w:space="0" w:color="auto"/>
            </w:tcBorders>
          </w:tcPr>
          <w:p w14:paraId="10980429"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2E4457A" w14:textId="77777777" w:rsidR="004E3AC5" w:rsidRPr="00BE28C4" w:rsidRDefault="00907ADD">
            <w:pPr>
              <w:pStyle w:val="TableText10"/>
              <w:tabs>
                <w:tab w:val="left" w:pos="567"/>
              </w:tabs>
              <w:rPr>
                <w:sz w:val="22"/>
                <w:szCs w:val="22"/>
              </w:rPr>
            </w:pPr>
            <w:r w:rsidRPr="00BE28C4">
              <w:rPr>
                <w:sz w:val="22"/>
                <w:szCs w:val="22"/>
              </w:rPr>
              <w:t>Niezbyt często</w:t>
            </w:r>
          </w:p>
        </w:tc>
        <w:tc>
          <w:tcPr>
            <w:tcW w:w="4554" w:type="dxa"/>
            <w:tcBorders>
              <w:top w:val="single" w:sz="4" w:space="0" w:color="auto"/>
              <w:left w:val="single" w:sz="4" w:space="0" w:color="auto"/>
              <w:bottom w:val="single" w:sz="4" w:space="0" w:color="auto"/>
              <w:right w:val="single" w:sz="4" w:space="0" w:color="auto"/>
            </w:tcBorders>
          </w:tcPr>
          <w:p w14:paraId="7A4A3614" w14:textId="77777777" w:rsidR="004E3AC5" w:rsidRPr="00BE28C4" w:rsidRDefault="00907ADD">
            <w:pPr>
              <w:pStyle w:val="TableText10"/>
              <w:tabs>
                <w:tab w:val="left" w:pos="567"/>
              </w:tabs>
              <w:rPr>
                <w:sz w:val="22"/>
                <w:szCs w:val="22"/>
              </w:rPr>
            </w:pPr>
            <w:r w:rsidRPr="00BE28C4">
              <w:rPr>
                <w:sz w:val="22"/>
                <w:szCs w:val="22"/>
              </w:rPr>
              <w:t>Dyskomfort w obrębie brzucha, dyspepsja, odbijanie ze zwracaniem treści żołądkowej lub gazu, wzdęcia</w:t>
            </w:r>
          </w:p>
        </w:tc>
      </w:tr>
      <w:tr w:rsidR="00BE28C4" w:rsidRPr="00BE28C4" w14:paraId="4B5DEF84" w14:textId="77777777" w:rsidTr="00C313CE">
        <w:trPr>
          <w:cantSplit/>
          <w:trHeight w:val="432"/>
        </w:trPr>
        <w:tc>
          <w:tcPr>
            <w:tcW w:w="2376" w:type="dxa"/>
            <w:vMerge/>
            <w:tcBorders>
              <w:left w:val="single" w:sz="4" w:space="0" w:color="auto"/>
              <w:right w:val="single" w:sz="4" w:space="0" w:color="auto"/>
            </w:tcBorders>
          </w:tcPr>
          <w:p w14:paraId="672D1EE0" w14:textId="77777777" w:rsidR="004E3AC5" w:rsidRPr="00BE28C4" w:rsidRDefault="004E3AC5">
            <w:pPr>
              <w:pStyle w:val="TableText10"/>
              <w:widowControl w:val="0"/>
              <w:tabs>
                <w:tab w:val="left" w:pos="567"/>
              </w:tabs>
              <w:rPr>
                <w:sz w:val="22"/>
                <w:szCs w:val="22"/>
              </w:rPr>
            </w:pPr>
          </w:p>
        </w:tc>
        <w:tc>
          <w:tcPr>
            <w:tcW w:w="2268" w:type="dxa"/>
            <w:tcBorders>
              <w:top w:val="single" w:sz="4" w:space="0" w:color="auto"/>
              <w:left w:val="single" w:sz="4" w:space="0" w:color="auto"/>
              <w:right w:val="single" w:sz="4" w:space="0" w:color="auto"/>
            </w:tcBorders>
          </w:tcPr>
          <w:p w14:paraId="49065B2E" w14:textId="77777777" w:rsidR="004E3AC5" w:rsidRPr="00BE28C4" w:rsidRDefault="00907ADD">
            <w:pPr>
              <w:pStyle w:val="TableText10"/>
              <w:widowControl w:val="0"/>
              <w:tabs>
                <w:tab w:val="left" w:pos="567"/>
              </w:tabs>
              <w:rPr>
                <w:sz w:val="22"/>
                <w:szCs w:val="22"/>
              </w:rPr>
            </w:pPr>
            <w:r w:rsidRPr="00BE28C4">
              <w:rPr>
                <w:sz w:val="22"/>
                <w:szCs w:val="22"/>
              </w:rPr>
              <w:t>Rzadko</w:t>
            </w:r>
          </w:p>
        </w:tc>
        <w:tc>
          <w:tcPr>
            <w:tcW w:w="4554" w:type="dxa"/>
            <w:tcBorders>
              <w:top w:val="single" w:sz="4" w:space="0" w:color="auto"/>
              <w:left w:val="single" w:sz="4" w:space="0" w:color="auto"/>
              <w:right w:val="single" w:sz="4" w:space="0" w:color="auto"/>
            </w:tcBorders>
          </w:tcPr>
          <w:p w14:paraId="13E4CB74" w14:textId="77777777" w:rsidR="004E3AC5" w:rsidRPr="00BE28C4" w:rsidRDefault="00907ADD">
            <w:pPr>
              <w:pStyle w:val="TableText10"/>
              <w:keepNext/>
              <w:widowControl w:val="0"/>
              <w:tabs>
                <w:tab w:val="left" w:pos="-720"/>
                <w:tab w:val="left" w:pos="567"/>
                <w:tab w:val="left" w:pos="4536"/>
              </w:tabs>
              <w:suppressAutoHyphens/>
              <w:outlineLvl w:val="6"/>
              <w:rPr>
                <w:sz w:val="22"/>
                <w:szCs w:val="22"/>
              </w:rPr>
            </w:pPr>
            <w:r w:rsidRPr="00BE28C4">
              <w:rPr>
                <w:sz w:val="22"/>
                <w:szCs w:val="22"/>
              </w:rPr>
              <w:t>Krew w stolcu, przepuklina, obrzęk warg, ból w podbrzuszu, próchnica***, ból zęba***</w:t>
            </w:r>
          </w:p>
        </w:tc>
      </w:tr>
      <w:tr w:rsidR="00BE28C4" w:rsidRPr="00BE28C4" w14:paraId="66C87B28" w14:textId="77777777" w:rsidTr="00C313CE">
        <w:trPr>
          <w:cantSplit/>
        </w:trPr>
        <w:tc>
          <w:tcPr>
            <w:tcW w:w="2376" w:type="dxa"/>
            <w:vMerge/>
            <w:tcBorders>
              <w:left w:val="single" w:sz="4" w:space="0" w:color="auto"/>
              <w:bottom w:val="single" w:sz="4" w:space="0" w:color="auto"/>
              <w:right w:val="single" w:sz="4" w:space="0" w:color="auto"/>
            </w:tcBorders>
          </w:tcPr>
          <w:p w14:paraId="6DBA74A4" w14:textId="77777777" w:rsidR="004E3AC5" w:rsidRPr="00BE28C4" w:rsidRDefault="004E3AC5">
            <w:pPr>
              <w:pStyle w:val="TableText10"/>
              <w:widowControl w:val="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519A1AE" w14:textId="77777777" w:rsidR="004E3AC5" w:rsidRPr="00BE28C4" w:rsidRDefault="00907ADD">
            <w:pPr>
              <w:pStyle w:val="TableText10"/>
              <w:widowControl w:val="0"/>
              <w:tabs>
                <w:tab w:val="left" w:pos="567"/>
              </w:tabs>
              <w:rPr>
                <w:sz w:val="22"/>
                <w:szCs w:val="22"/>
              </w:rPr>
            </w:pPr>
            <w:r w:rsidRPr="00BE28C4">
              <w:rPr>
                <w:sz w:val="22"/>
                <w:szCs w:val="22"/>
              </w:rPr>
              <w:t>Częstość nieznana</w:t>
            </w:r>
          </w:p>
        </w:tc>
        <w:tc>
          <w:tcPr>
            <w:tcW w:w="4554" w:type="dxa"/>
            <w:tcBorders>
              <w:top w:val="single" w:sz="4" w:space="0" w:color="auto"/>
              <w:left w:val="single" w:sz="4" w:space="0" w:color="auto"/>
              <w:bottom w:val="single" w:sz="4" w:space="0" w:color="auto"/>
              <w:right w:val="single" w:sz="4" w:space="0" w:color="auto"/>
            </w:tcBorders>
          </w:tcPr>
          <w:p w14:paraId="635C4B7A" w14:textId="77777777" w:rsidR="004E3AC5" w:rsidRPr="00BE28C4" w:rsidRDefault="00907ADD">
            <w:pPr>
              <w:pStyle w:val="TableText10"/>
              <w:keepNext/>
              <w:widowControl w:val="0"/>
              <w:tabs>
                <w:tab w:val="left" w:pos="-720"/>
                <w:tab w:val="left" w:pos="567"/>
                <w:tab w:val="left" w:pos="4536"/>
              </w:tabs>
              <w:suppressAutoHyphens/>
              <w:outlineLvl w:val="6"/>
              <w:rPr>
                <w:sz w:val="22"/>
                <w:szCs w:val="22"/>
              </w:rPr>
            </w:pPr>
            <w:r w:rsidRPr="00BE28C4">
              <w:rPr>
                <w:sz w:val="22"/>
                <w:szCs w:val="22"/>
              </w:rPr>
              <w:t>Biegunka, wzdęcia, żylaki odbytu, owrzodzenie</w:t>
            </w:r>
          </w:p>
        </w:tc>
      </w:tr>
      <w:tr w:rsidR="00BE28C4" w:rsidRPr="00BE28C4" w14:paraId="36A70D36" w14:textId="77777777" w:rsidTr="00C313CE">
        <w:trPr>
          <w:cantSplit/>
        </w:trPr>
        <w:tc>
          <w:tcPr>
            <w:tcW w:w="2376" w:type="dxa"/>
            <w:vMerge w:val="restart"/>
            <w:tcBorders>
              <w:top w:val="single" w:sz="4" w:space="0" w:color="auto"/>
              <w:left w:val="single" w:sz="4" w:space="0" w:color="auto"/>
              <w:right w:val="single" w:sz="4" w:space="0" w:color="auto"/>
            </w:tcBorders>
          </w:tcPr>
          <w:p w14:paraId="3429A6B1" w14:textId="77777777" w:rsidR="004E3AC5" w:rsidRPr="00BE28C4" w:rsidRDefault="00907ADD">
            <w:pPr>
              <w:pStyle w:val="TableText10"/>
              <w:tabs>
                <w:tab w:val="left" w:pos="567"/>
              </w:tabs>
              <w:rPr>
                <w:sz w:val="22"/>
                <w:szCs w:val="22"/>
              </w:rPr>
            </w:pPr>
            <w:r w:rsidRPr="00BE28C4">
              <w:rPr>
                <w:sz w:val="22"/>
                <w:szCs w:val="22"/>
              </w:rPr>
              <w:t>Zaburzenia wątroby i dróg żółciowych</w:t>
            </w:r>
          </w:p>
        </w:tc>
        <w:tc>
          <w:tcPr>
            <w:tcW w:w="2268" w:type="dxa"/>
            <w:tcBorders>
              <w:top w:val="single" w:sz="4" w:space="0" w:color="auto"/>
              <w:left w:val="single" w:sz="4" w:space="0" w:color="auto"/>
              <w:bottom w:val="single" w:sz="4" w:space="0" w:color="auto"/>
              <w:right w:val="single" w:sz="4" w:space="0" w:color="auto"/>
            </w:tcBorders>
          </w:tcPr>
          <w:p w14:paraId="3CECA320" w14:textId="77777777" w:rsidR="004E3AC5" w:rsidRPr="00BE28C4" w:rsidRDefault="00907ADD">
            <w:pPr>
              <w:pStyle w:val="TableText10"/>
              <w:tabs>
                <w:tab w:val="left" w:pos="567"/>
              </w:tabs>
              <w:rPr>
                <w:sz w:val="22"/>
                <w:szCs w:val="22"/>
              </w:rPr>
            </w:pPr>
            <w:r w:rsidRPr="00BE28C4">
              <w:rPr>
                <w:sz w:val="22"/>
                <w:szCs w:val="22"/>
              </w:rPr>
              <w:t xml:space="preserve">Niezbyt często </w:t>
            </w:r>
          </w:p>
        </w:tc>
        <w:tc>
          <w:tcPr>
            <w:tcW w:w="4554" w:type="dxa"/>
            <w:tcBorders>
              <w:top w:val="single" w:sz="4" w:space="0" w:color="auto"/>
              <w:left w:val="single" w:sz="4" w:space="0" w:color="auto"/>
              <w:bottom w:val="single" w:sz="4" w:space="0" w:color="auto"/>
              <w:right w:val="single" w:sz="4" w:space="0" w:color="auto"/>
            </w:tcBorders>
          </w:tcPr>
          <w:p w14:paraId="5D3ADFC2" w14:textId="77777777" w:rsidR="004E3AC5" w:rsidRPr="00BE28C4" w:rsidRDefault="00907ADD">
            <w:pPr>
              <w:pStyle w:val="TableText10"/>
              <w:tabs>
                <w:tab w:val="left" w:pos="567"/>
              </w:tabs>
              <w:rPr>
                <w:sz w:val="22"/>
                <w:szCs w:val="22"/>
              </w:rPr>
            </w:pPr>
            <w:r w:rsidRPr="00BE28C4">
              <w:rPr>
                <w:sz w:val="22"/>
                <w:szCs w:val="22"/>
              </w:rPr>
              <w:t xml:space="preserve">Zapalenie pęcherzyka żółciowego, podwyższona aktywność </w:t>
            </w:r>
            <w:proofErr w:type="spellStart"/>
            <w:r w:rsidRPr="00BE28C4">
              <w:rPr>
                <w:sz w:val="22"/>
                <w:szCs w:val="22"/>
              </w:rPr>
              <w:t>AlAT</w:t>
            </w:r>
            <w:proofErr w:type="spellEnd"/>
            <w:r w:rsidRPr="00BE28C4">
              <w:rPr>
                <w:sz w:val="22"/>
                <w:szCs w:val="22"/>
              </w:rPr>
              <w:t xml:space="preserve">, podwyższona aktywność </w:t>
            </w:r>
            <w:proofErr w:type="spellStart"/>
            <w:r w:rsidRPr="00BE28C4">
              <w:rPr>
                <w:sz w:val="22"/>
                <w:szCs w:val="22"/>
              </w:rPr>
              <w:t>AspAT</w:t>
            </w:r>
            <w:proofErr w:type="spellEnd"/>
            <w:r w:rsidRPr="00BE28C4">
              <w:rPr>
                <w:sz w:val="22"/>
                <w:szCs w:val="22"/>
              </w:rPr>
              <w:t>, podwyższona aktywność enzymów wątrobowych</w:t>
            </w:r>
          </w:p>
        </w:tc>
      </w:tr>
      <w:tr w:rsidR="00BE28C4" w:rsidRPr="00BE28C4" w14:paraId="6836F321" w14:textId="77777777" w:rsidTr="00C313CE">
        <w:trPr>
          <w:cantSplit/>
        </w:trPr>
        <w:tc>
          <w:tcPr>
            <w:tcW w:w="2376" w:type="dxa"/>
            <w:vMerge/>
            <w:tcBorders>
              <w:left w:val="single" w:sz="4" w:space="0" w:color="auto"/>
              <w:right w:val="single" w:sz="4" w:space="0" w:color="auto"/>
            </w:tcBorders>
          </w:tcPr>
          <w:p w14:paraId="41B2B47F"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FC34AD8" w14:textId="77777777" w:rsidR="004E3AC5" w:rsidRPr="00BE28C4" w:rsidRDefault="00907ADD">
            <w:pPr>
              <w:pStyle w:val="TableText10"/>
              <w:tabs>
                <w:tab w:val="left" w:pos="567"/>
              </w:tabs>
              <w:rPr>
                <w:sz w:val="22"/>
                <w:szCs w:val="22"/>
              </w:rPr>
            </w:pPr>
            <w:r w:rsidRPr="00BE28C4">
              <w:rPr>
                <w:sz w:val="22"/>
                <w:szCs w:val="22"/>
              </w:rPr>
              <w:t>Rzadko</w:t>
            </w:r>
          </w:p>
        </w:tc>
        <w:tc>
          <w:tcPr>
            <w:tcW w:w="4554" w:type="dxa"/>
            <w:tcBorders>
              <w:top w:val="single" w:sz="4" w:space="0" w:color="auto"/>
              <w:left w:val="single" w:sz="4" w:space="0" w:color="auto"/>
              <w:bottom w:val="single" w:sz="4" w:space="0" w:color="auto"/>
              <w:right w:val="single" w:sz="4" w:space="0" w:color="auto"/>
            </w:tcBorders>
          </w:tcPr>
          <w:p w14:paraId="021B3117" w14:textId="77777777" w:rsidR="004E3AC5" w:rsidRPr="00BE28C4" w:rsidRDefault="00907ADD">
            <w:pPr>
              <w:pStyle w:val="TableText10"/>
              <w:tabs>
                <w:tab w:val="left" w:pos="567"/>
              </w:tabs>
              <w:rPr>
                <w:sz w:val="22"/>
                <w:szCs w:val="22"/>
              </w:rPr>
            </w:pPr>
            <w:r w:rsidRPr="00BE28C4">
              <w:rPr>
                <w:sz w:val="22"/>
                <w:szCs w:val="22"/>
              </w:rPr>
              <w:t>Uszkodzenie wątroby spowodowane przez leki</w:t>
            </w:r>
          </w:p>
        </w:tc>
      </w:tr>
      <w:tr w:rsidR="00BE28C4" w:rsidRPr="00BE28C4" w14:paraId="66F89B80" w14:textId="77777777" w:rsidTr="00C313CE">
        <w:trPr>
          <w:cantSplit/>
        </w:trPr>
        <w:tc>
          <w:tcPr>
            <w:tcW w:w="2376" w:type="dxa"/>
            <w:vMerge/>
            <w:tcBorders>
              <w:left w:val="single" w:sz="4" w:space="0" w:color="auto"/>
              <w:bottom w:val="single" w:sz="4" w:space="0" w:color="auto"/>
              <w:right w:val="single" w:sz="4" w:space="0" w:color="auto"/>
            </w:tcBorders>
          </w:tcPr>
          <w:p w14:paraId="1F1A268A"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94535AD" w14:textId="77777777" w:rsidR="004E3AC5" w:rsidRPr="00BE28C4" w:rsidRDefault="00907ADD">
            <w:pPr>
              <w:pStyle w:val="TableText10"/>
              <w:tabs>
                <w:tab w:val="left" w:pos="567"/>
              </w:tabs>
              <w:rPr>
                <w:sz w:val="22"/>
                <w:szCs w:val="22"/>
              </w:rPr>
            </w:pPr>
            <w:r w:rsidRPr="00BE28C4">
              <w:rPr>
                <w:sz w:val="22"/>
                <w:szCs w:val="22"/>
              </w:rPr>
              <w:t>Częstość nieznana</w:t>
            </w:r>
          </w:p>
        </w:tc>
        <w:tc>
          <w:tcPr>
            <w:tcW w:w="4554" w:type="dxa"/>
            <w:tcBorders>
              <w:top w:val="single" w:sz="4" w:space="0" w:color="auto"/>
              <w:left w:val="single" w:sz="4" w:space="0" w:color="auto"/>
              <w:bottom w:val="single" w:sz="4" w:space="0" w:color="auto"/>
              <w:right w:val="single" w:sz="4" w:space="0" w:color="auto"/>
            </w:tcBorders>
          </w:tcPr>
          <w:p w14:paraId="7F291ADD" w14:textId="77777777" w:rsidR="004E3AC5" w:rsidRPr="00BE28C4" w:rsidRDefault="00907ADD">
            <w:pPr>
              <w:pStyle w:val="TableText10"/>
              <w:tabs>
                <w:tab w:val="left" w:pos="567"/>
              </w:tabs>
              <w:rPr>
                <w:sz w:val="22"/>
                <w:szCs w:val="22"/>
              </w:rPr>
            </w:pPr>
            <w:r w:rsidRPr="00BE28C4">
              <w:rPr>
                <w:sz w:val="22"/>
                <w:szCs w:val="22"/>
              </w:rPr>
              <w:t>Zapalenie wątroby</w:t>
            </w:r>
          </w:p>
        </w:tc>
      </w:tr>
      <w:tr w:rsidR="00BE28C4" w:rsidRPr="00BE28C4" w14:paraId="0E78DB66" w14:textId="77777777" w:rsidTr="00C313CE">
        <w:trPr>
          <w:cantSplit/>
          <w:trHeight w:val="144"/>
        </w:trPr>
        <w:tc>
          <w:tcPr>
            <w:tcW w:w="2376" w:type="dxa"/>
            <w:vMerge w:val="restart"/>
            <w:tcBorders>
              <w:top w:val="single" w:sz="4" w:space="0" w:color="auto"/>
              <w:left w:val="single" w:sz="4" w:space="0" w:color="auto"/>
              <w:right w:val="single" w:sz="4" w:space="0" w:color="auto"/>
            </w:tcBorders>
          </w:tcPr>
          <w:p w14:paraId="6A726A38" w14:textId="77777777" w:rsidR="004E3AC5" w:rsidRPr="00BE28C4" w:rsidRDefault="00907ADD">
            <w:pPr>
              <w:pStyle w:val="TableText10"/>
              <w:tabs>
                <w:tab w:val="left" w:pos="567"/>
              </w:tabs>
              <w:rPr>
                <w:sz w:val="22"/>
                <w:szCs w:val="22"/>
              </w:rPr>
            </w:pPr>
            <w:r w:rsidRPr="00BE28C4">
              <w:rPr>
                <w:sz w:val="22"/>
                <w:szCs w:val="22"/>
              </w:rPr>
              <w:t>Zaburzenia skóry i tkanki podskórnej</w:t>
            </w:r>
          </w:p>
        </w:tc>
        <w:tc>
          <w:tcPr>
            <w:tcW w:w="2268" w:type="dxa"/>
            <w:tcBorders>
              <w:top w:val="single" w:sz="4" w:space="0" w:color="auto"/>
              <w:left w:val="single" w:sz="4" w:space="0" w:color="auto"/>
              <w:right w:val="single" w:sz="4" w:space="0" w:color="auto"/>
            </w:tcBorders>
          </w:tcPr>
          <w:p w14:paraId="4261D5B0" w14:textId="77777777" w:rsidR="004E3AC5" w:rsidRPr="00BE28C4" w:rsidRDefault="00907ADD">
            <w:pPr>
              <w:pStyle w:val="TableText10"/>
              <w:tabs>
                <w:tab w:val="left" w:pos="567"/>
              </w:tabs>
              <w:rPr>
                <w:sz w:val="22"/>
                <w:szCs w:val="22"/>
              </w:rPr>
            </w:pPr>
            <w:r w:rsidRPr="00BE28C4">
              <w:rPr>
                <w:sz w:val="22"/>
                <w:szCs w:val="22"/>
              </w:rPr>
              <w:t>Często</w:t>
            </w:r>
          </w:p>
        </w:tc>
        <w:tc>
          <w:tcPr>
            <w:tcW w:w="4554" w:type="dxa"/>
            <w:tcBorders>
              <w:top w:val="single" w:sz="4" w:space="0" w:color="auto"/>
              <w:left w:val="single" w:sz="4" w:space="0" w:color="auto"/>
              <w:right w:val="single" w:sz="4" w:space="0" w:color="auto"/>
            </w:tcBorders>
          </w:tcPr>
          <w:p w14:paraId="3E4F97A1" w14:textId="77777777" w:rsidR="004E3AC5" w:rsidRPr="00BE28C4" w:rsidRDefault="00907ADD">
            <w:pPr>
              <w:pStyle w:val="TableText10"/>
              <w:tabs>
                <w:tab w:val="left" w:pos="567"/>
              </w:tabs>
              <w:rPr>
                <w:sz w:val="22"/>
                <w:szCs w:val="22"/>
              </w:rPr>
            </w:pPr>
            <w:r w:rsidRPr="00BE28C4">
              <w:rPr>
                <w:sz w:val="22"/>
                <w:szCs w:val="22"/>
              </w:rPr>
              <w:t>Wzmożona potliwość, świąd, łysienie, wysypka</w:t>
            </w:r>
          </w:p>
        </w:tc>
      </w:tr>
      <w:tr w:rsidR="00BE28C4" w:rsidRPr="00BE28C4" w14:paraId="31A45012" w14:textId="77777777" w:rsidTr="00C313CE">
        <w:trPr>
          <w:cantSplit/>
          <w:trHeight w:val="432"/>
        </w:trPr>
        <w:tc>
          <w:tcPr>
            <w:tcW w:w="2376" w:type="dxa"/>
            <w:vMerge/>
            <w:tcBorders>
              <w:left w:val="single" w:sz="4" w:space="0" w:color="auto"/>
              <w:right w:val="single" w:sz="4" w:space="0" w:color="auto"/>
            </w:tcBorders>
          </w:tcPr>
          <w:p w14:paraId="4D859EB6"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right w:val="single" w:sz="4" w:space="0" w:color="auto"/>
            </w:tcBorders>
          </w:tcPr>
          <w:p w14:paraId="1A2690F9" w14:textId="77777777" w:rsidR="004E3AC5" w:rsidRPr="00BE28C4" w:rsidRDefault="00907ADD">
            <w:pPr>
              <w:pStyle w:val="TableText10"/>
              <w:tabs>
                <w:tab w:val="left" w:pos="567"/>
              </w:tabs>
              <w:rPr>
                <w:sz w:val="22"/>
                <w:szCs w:val="22"/>
              </w:rPr>
            </w:pPr>
            <w:r w:rsidRPr="00BE28C4">
              <w:rPr>
                <w:sz w:val="22"/>
                <w:szCs w:val="22"/>
              </w:rPr>
              <w:t>Częstość nieznana</w:t>
            </w:r>
          </w:p>
        </w:tc>
        <w:tc>
          <w:tcPr>
            <w:tcW w:w="4554" w:type="dxa"/>
            <w:tcBorders>
              <w:top w:val="single" w:sz="4" w:space="0" w:color="auto"/>
              <w:left w:val="single" w:sz="4" w:space="0" w:color="auto"/>
              <w:right w:val="single" w:sz="4" w:space="0" w:color="auto"/>
            </w:tcBorders>
          </w:tcPr>
          <w:p w14:paraId="549466AA" w14:textId="77777777" w:rsidR="004E3AC5" w:rsidRPr="00BE28C4" w:rsidRDefault="00907ADD">
            <w:pPr>
              <w:rPr>
                <w:szCs w:val="22"/>
              </w:rPr>
            </w:pPr>
            <w:r w:rsidRPr="00BE28C4">
              <w:rPr>
                <w:szCs w:val="22"/>
              </w:rPr>
              <w:t xml:space="preserve">Trądzik, rumień wielopostaciowy i zespół Stevensa-Johnsona </w:t>
            </w:r>
          </w:p>
          <w:p w14:paraId="5C33692A" w14:textId="77777777" w:rsidR="004E3AC5" w:rsidRPr="00BE28C4" w:rsidRDefault="00907ADD">
            <w:pPr>
              <w:pStyle w:val="TableText10"/>
              <w:tabs>
                <w:tab w:val="left" w:pos="567"/>
              </w:tabs>
              <w:rPr>
                <w:sz w:val="22"/>
                <w:szCs w:val="22"/>
              </w:rPr>
            </w:pPr>
            <w:r w:rsidRPr="00BE28C4">
              <w:rPr>
                <w:sz w:val="22"/>
                <w:szCs w:val="22"/>
              </w:rPr>
              <w:t>Toczeń rumieniowaty skórny</w:t>
            </w:r>
          </w:p>
          <w:p w14:paraId="3B564F31" w14:textId="77777777" w:rsidR="004E3AC5" w:rsidRPr="00BE28C4" w:rsidRDefault="00907ADD">
            <w:pPr>
              <w:pStyle w:val="TableText10"/>
              <w:tabs>
                <w:tab w:val="left" w:pos="567"/>
              </w:tabs>
              <w:rPr>
                <w:sz w:val="22"/>
                <w:szCs w:val="22"/>
              </w:rPr>
            </w:pPr>
            <w:r w:rsidRPr="00BE28C4">
              <w:rPr>
                <w:sz w:val="22"/>
                <w:szCs w:val="22"/>
              </w:rPr>
              <w:t>Zaostrzenie tocznia rumieniowatego układowego</w:t>
            </w:r>
          </w:p>
          <w:p w14:paraId="7928E9F5" w14:textId="77777777" w:rsidR="004E3AC5" w:rsidRPr="00BE28C4" w:rsidRDefault="00907ADD">
            <w:pPr>
              <w:pStyle w:val="TableText10"/>
              <w:tabs>
                <w:tab w:val="left" w:pos="567"/>
              </w:tabs>
              <w:rPr>
                <w:sz w:val="22"/>
                <w:szCs w:val="22"/>
              </w:rPr>
            </w:pPr>
            <w:r w:rsidRPr="00BE28C4">
              <w:rPr>
                <w:sz w:val="22"/>
                <w:u w:val="single"/>
              </w:rPr>
              <w:t>Ostra uogólniona osutka krostkowa (AGEP)</w:t>
            </w:r>
          </w:p>
        </w:tc>
      </w:tr>
      <w:tr w:rsidR="00BE28C4" w:rsidRPr="00BE28C4" w14:paraId="3340EF65" w14:textId="77777777" w:rsidTr="00C313CE">
        <w:trPr>
          <w:cantSplit/>
          <w:trHeight w:val="144"/>
        </w:trPr>
        <w:tc>
          <w:tcPr>
            <w:tcW w:w="2376" w:type="dxa"/>
            <w:vMerge w:val="restart"/>
            <w:tcBorders>
              <w:top w:val="single" w:sz="4" w:space="0" w:color="auto"/>
              <w:left w:val="single" w:sz="4" w:space="0" w:color="auto"/>
              <w:right w:val="single" w:sz="4" w:space="0" w:color="auto"/>
            </w:tcBorders>
          </w:tcPr>
          <w:p w14:paraId="07A083F5" w14:textId="77777777" w:rsidR="004E3AC5" w:rsidRPr="00BE28C4" w:rsidRDefault="00907ADD">
            <w:pPr>
              <w:pStyle w:val="TableText10"/>
              <w:tabs>
                <w:tab w:val="left" w:pos="567"/>
              </w:tabs>
              <w:rPr>
                <w:sz w:val="22"/>
                <w:szCs w:val="22"/>
              </w:rPr>
            </w:pPr>
            <w:r w:rsidRPr="00BE28C4">
              <w:rPr>
                <w:sz w:val="22"/>
                <w:szCs w:val="22"/>
              </w:rPr>
              <w:t>Zaburzenia mięśniowo-szkieletowe i tkanki łącznej</w:t>
            </w:r>
          </w:p>
        </w:tc>
        <w:tc>
          <w:tcPr>
            <w:tcW w:w="2268" w:type="dxa"/>
            <w:tcBorders>
              <w:top w:val="single" w:sz="4" w:space="0" w:color="auto"/>
              <w:left w:val="single" w:sz="4" w:space="0" w:color="auto"/>
              <w:right w:val="single" w:sz="4" w:space="0" w:color="auto"/>
            </w:tcBorders>
          </w:tcPr>
          <w:p w14:paraId="33F2F112" w14:textId="77777777" w:rsidR="004E3AC5" w:rsidRPr="00BE28C4" w:rsidRDefault="00907ADD">
            <w:pPr>
              <w:pStyle w:val="TableText10"/>
              <w:tabs>
                <w:tab w:val="left" w:pos="567"/>
              </w:tabs>
              <w:rPr>
                <w:sz w:val="22"/>
                <w:szCs w:val="22"/>
              </w:rPr>
            </w:pPr>
            <w:r w:rsidRPr="00BE28C4">
              <w:rPr>
                <w:sz w:val="22"/>
                <w:szCs w:val="22"/>
              </w:rPr>
              <w:t>Rzadko</w:t>
            </w:r>
          </w:p>
        </w:tc>
        <w:tc>
          <w:tcPr>
            <w:tcW w:w="4554" w:type="dxa"/>
            <w:tcBorders>
              <w:top w:val="single" w:sz="4" w:space="0" w:color="auto"/>
              <w:left w:val="single" w:sz="4" w:space="0" w:color="auto"/>
              <w:right w:val="single" w:sz="4" w:space="0" w:color="auto"/>
            </w:tcBorders>
          </w:tcPr>
          <w:p w14:paraId="0A1719AE" w14:textId="77777777" w:rsidR="004E3AC5" w:rsidRPr="00BE28C4" w:rsidRDefault="00907ADD">
            <w:pPr>
              <w:pStyle w:val="TableText10"/>
              <w:tabs>
                <w:tab w:val="left" w:pos="567"/>
              </w:tabs>
              <w:rPr>
                <w:sz w:val="22"/>
                <w:szCs w:val="22"/>
              </w:rPr>
            </w:pPr>
            <w:r w:rsidRPr="00BE28C4">
              <w:rPr>
                <w:sz w:val="22"/>
                <w:szCs w:val="22"/>
              </w:rPr>
              <w:t>Ból szczęki</w:t>
            </w:r>
          </w:p>
        </w:tc>
      </w:tr>
      <w:tr w:rsidR="00BE28C4" w:rsidRPr="00BE28C4" w14:paraId="2DE8BB6F" w14:textId="77777777" w:rsidTr="00C313CE">
        <w:trPr>
          <w:cantSplit/>
        </w:trPr>
        <w:tc>
          <w:tcPr>
            <w:tcW w:w="2376" w:type="dxa"/>
            <w:vMerge/>
            <w:tcBorders>
              <w:left w:val="single" w:sz="4" w:space="0" w:color="auto"/>
              <w:right w:val="single" w:sz="4" w:space="0" w:color="auto"/>
            </w:tcBorders>
          </w:tcPr>
          <w:p w14:paraId="5D2CBE98"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898C34F" w14:textId="77777777" w:rsidR="004E3AC5" w:rsidRPr="00BE28C4" w:rsidRDefault="00907ADD">
            <w:pPr>
              <w:pStyle w:val="TableText10"/>
              <w:tabs>
                <w:tab w:val="left" w:pos="567"/>
              </w:tabs>
              <w:rPr>
                <w:sz w:val="22"/>
                <w:szCs w:val="22"/>
              </w:rPr>
            </w:pPr>
            <w:r w:rsidRPr="00BE28C4">
              <w:rPr>
                <w:sz w:val="22"/>
                <w:szCs w:val="22"/>
              </w:rPr>
              <w:t>Częstość nieznana</w:t>
            </w:r>
          </w:p>
        </w:tc>
        <w:tc>
          <w:tcPr>
            <w:tcW w:w="4554" w:type="dxa"/>
            <w:tcBorders>
              <w:top w:val="single" w:sz="4" w:space="0" w:color="auto"/>
              <w:left w:val="single" w:sz="4" w:space="0" w:color="auto"/>
              <w:bottom w:val="single" w:sz="4" w:space="0" w:color="auto"/>
              <w:right w:val="single" w:sz="4" w:space="0" w:color="auto"/>
            </w:tcBorders>
          </w:tcPr>
          <w:p w14:paraId="37896B5E" w14:textId="77777777" w:rsidR="004E3AC5" w:rsidRPr="00BE28C4" w:rsidRDefault="00907ADD">
            <w:pPr>
              <w:tabs>
                <w:tab w:val="clear" w:pos="567"/>
              </w:tabs>
              <w:rPr>
                <w:szCs w:val="22"/>
              </w:rPr>
            </w:pPr>
            <w:r w:rsidRPr="00BE28C4">
              <w:rPr>
                <w:szCs w:val="22"/>
              </w:rPr>
              <w:t xml:space="preserve">Bóle stawowe, ból w pachwinie, bóle mięśniowe, </w:t>
            </w:r>
            <w:proofErr w:type="spellStart"/>
            <w:r w:rsidRPr="00BE28C4">
              <w:rPr>
                <w:szCs w:val="22"/>
              </w:rPr>
              <w:t>rabdomioliza</w:t>
            </w:r>
            <w:proofErr w:type="spellEnd"/>
            <w:r w:rsidRPr="00BE28C4">
              <w:rPr>
                <w:szCs w:val="22"/>
              </w:rPr>
              <w:t xml:space="preserve"> </w:t>
            </w:r>
          </w:p>
        </w:tc>
      </w:tr>
      <w:tr w:rsidR="00BE28C4" w:rsidRPr="00BE28C4" w14:paraId="1AD182F1" w14:textId="77777777" w:rsidTr="00C313CE">
        <w:trPr>
          <w:cantSplit/>
        </w:trPr>
        <w:tc>
          <w:tcPr>
            <w:tcW w:w="2376" w:type="dxa"/>
            <w:vMerge w:val="restart"/>
            <w:tcBorders>
              <w:top w:val="single" w:sz="4" w:space="0" w:color="auto"/>
              <w:left w:val="single" w:sz="4" w:space="0" w:color="auto"/>
              <w:right w:val="single" w:sz="4" w:space="0" w:color="auto"/>
            </w:tcBorders>
          </w:tcPr>
          <w:p w14:paraId="546B5356" w14:textId="77777777" w:rsidR="004E3AC5" w:rsidRPr="00BE28C4" w:rsidRDefault="00907ADD">
            <w:pPr>
              <w:pStyle w:val="TableText10"/>
              <w:tabs>
                <w:tab w:val="left" w:pos="567"/>
              </w:tabs>
              <w:rPr>
                <w:sz w:val="22"/>
                <w:szCs w:val="22"/>
              </w:rPr>
            </w:pPr>
            <w:r w:rsidRPr="00BE28C4">
              <w:rPr>
                <w:sz w:val="22"/>
                <w:szCs w:val="22"/>
              </w:rPr>
              <w:t>Zaburzenia nerek i dróg moczowych</w:t>
            </w:r>
          </w:p>
        </w:tc>
        <w:tc>
          <w:tcPr>
            <w:tcW w:w="2268" w:type="dxa"/>
            <w:tcBorders>
              <w:top w:val="single" w:sz="4" w:space="0" w:color="auto"/>
              <w:left w:val="single" w:sz="4" w:space="0" w:color="auto"/>
              <w:bottom w:val="single" w:sz="4" w:space="0" w:color="auto"/>
              <w:right w:val="single" w:sz="4" w:space="0" w:color="auto"/>
            </w:tcBorders>
          </w:tcPr>
          <w:p w14:paraId="3468E50E" w14:textId="77777777" w:rsidR="004E3AC5" w:rsidRPr="00BE28C4" w:rsidRDefault="00907ADD">
            <w:pPr>
              <w:pStyle w:val="TableText10"/>
              <w:tabs>
                <w:tab w:val="left" w:pos="567"/>
              </w:tabs>
              <w:rPr>
                <w:sz w:val="22"/>
                <w:szCs w:val="22"/>
              </w:rPr>
            </w:pPr>
            <w:r w:rsidRPr="00BE28C4">
              <w:rPr>
                <w:sz w:val="22"/>
                <w:szCs w:val="22"/>
              </w:rPr>
              <w:t xml:space="preserve">Niezbyt często </w:t>
            </w:r>
          </w:p>
        </w:tc>
        <w:tc>
          <w:tcPr>
            <w:tcW w:w="4554" w:type="dxa"/>
            <w:tcBorders>
              <w:top w:val="single" w:sz="4" w:space="0" w:color="auto"/>
              <w:left w:val="single" w:sz="4" w:space="0" w:color="auto"/>
              <w:bottom w:val="single" w:sz="4" w:space="0" w:color="auto"/>
              <w:right w:val="single" w:sz="4" w:space="0" w:color="auto"/>
            </w:tcBorders>
          </w:tcPr>
          <w:p w14:paraId="3728299F" w14:textId="77777777" w:rsidR="004E3AC5" w:rsidRPr="00BE28C4" w:rsidRDefault="00907ADD">
            <w:pPr>
              <w:pStyle w:val="TableText10"/>
              <w:tabs>
                <w:tab w:val="left" w:pos="567"/>
              </w:tabs>
              <w:rPr>
                <w:sz w:val="22"/>
                <w:szCs w:val="22"/>
              </w:rPr>
            </w:pPr>
            <w:r w:rsidRPr="00BE28C4">
              <w:rPr>
                <w:sz w:val="22"/>
                <w:szCs w:val="22"/>
              </w:rPr>
              <w:t>Podwyższone stężenie kreatyniny we krwi</w:t>
            </w:r>
          </w:p>
        </w:tc>
      </w:tr>
      <w:tr w:rsidR="00BE28C4" w:rsidRPr="00BE28C4" w14:paraId="7E592060" w14:textId="77777777" w:rsidTr="00C313CE">
        <w:trPr>
          <w:cantSplit/>
        </w:trPr>
        <w:tc>
          <w:tcPr>
            <w:tcW w:w="2376" w:type="dxa"/>
            <w:vMerge/>
            <w:tcBorders>
              <w:left w:val="single" w:sz="4" w:space="0" w:color="auto"/>
              <w:right w:val="single" w:sz="4" w:space="0" w:color="auto"/>
            </w:tcBorders>
          </w:tcPr>
          <w:p w14:paraId="72992AA5"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905E6A3" w14:textId="77777777" w:rsidR="004E3AC5" w:rsidRPr="00BE28C4" w:rsidRDefault="00907ADD">
            <w:pPr>
              <w:pStyle w:val="TableText10"/>
              <w:tabs>
                <w:tab w:val="left" w:pos="567"/>
              </w:tabs>
              <w:rPr>
                <w:sz w:val="22"/>
                <w:szCs w:val="22"/>
              </w:rPr>
            </w:pPr>
            <w:r w:rsidRPr="00BE28C4">
              <w:rPr>
                <w:sz w:val="22"/>
                <w:szCs w:val="22"/>
              </w:rPr>
              <w:t>Rzadko</w:t>
            </w:r>
          </w:p>
        </w:tc>
        <w:tc>
          <w:tcPr>
            <w:tcW w:w="4554" w:type="dxa"/>
            <w:tcBorders>
              <w:top w:val="single" w:sz="4" w:space="0" w:color="auto"/>
              <w:left w:val="single" w:sz="4" w:space="0" w:color="auto"/>
              <w:bottom w:val="single" w:sz="4" w:space="0" w:color="auto"/>
              <w:right w:val="single" w:sz="4" w:space="0" w:color="auto"/>
            </w:tcBorders>
          </w:tcPr>
          <w:p w14:paraId="726DEE3A" w14:textId="77777777" w:rsidR="004E3AC5" w:rsidRPr="00BE28C4" w:rsidRDefault="00907ADD">
            <w:pPr>
              <w:pStyle w:val="TableText10"/>
              <w:tabs>
                <w:tab w:val="left" w:pos="567"/>
              </w:tabs>
              <w:rPr>
                <w:sz w:val="22"/>
                <w:szCs w:val="22"/>
              </w:rPr>
            </w:pPr>
            <w:r w:rsidRPr="00BE28C4">
              <w:rPr>
                <w:sz w:val="22"/>
                <w:szCs w:val="22"/>
              </w:rPr>
              <w:t>Nagląca potrzeba oddania moczu</w:t>
            </w:r>
          </w:p>
        </w:tc>
      </w:tr>
      <w:tr w:rsidR="00BE28C4" w:rsidRPr="00BE28C4" w14:paraId="516FDCFE" w14:textId="77777777" w:rsidTr="00C313CE">
        <w:trPr>
          <w:cantSplit/>
        </w:trPr>
        <w:tc>
          <w:tcPr>
            <w:tcW w:w="2376" w:type="dxa"/>
            <w:vMerge/>
            <w:tcBorders>
              <w:left w:val="single" w:sz="4" w:space="0" w:color="auto"/>
              <w:bottom w:val="single" w:sz="4" w:space="0" w:color="auto"/>
              <w:right w:val="single" w:sz="4" w:space="0" w:color="auto"/>
            </w:tcBorders>
          </w:tcPr>
          <w:p w14:paraId="3C3C0613"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5C1E2D6" w14:textId="77777777" w:rsidR="004E3AC5" w:rsidRPr="00BE28C4" w:rsidRDefault="00907ADD">
            <w:pPr>
              <w:pStyle w:val="TableText10"/>
              <w:tabs>
                <w:tab w:val="left" w:pos="567"/>
              </w:tabs>
              <w:rPr>
                <w:sz w:val="22"/>
                <w:szCs w:val="22"/>
              </w:rPr>
            </w:pPr>
            <w:r w:rsidRPr="00BE28C4">
              <w:rPr>
                <w:sz w:val="22"/>
                <w:szCs w:val="22"/>
              </w:rPr>
              <w:t>Częstość nieznana</w:t>
            </w:r>
          </w:p>
        </w:tc>
        <w:tc>
          <w:tcPr>
            <w:tcW w:w="4554" w:type="dxa"/>
            <w:tcBorders>
              <w:top w:val="single" w:sz="4" w:space="0" w:color="auto"/>
              <w:left w:val="single" w:sz="4" w:space="0" w:color="auto"/>
              <w:bottom w:val="single" w:sz="4" w:space="0" w:color="auto"/>
              <w:right w:val="single" w:sz="4" w:space="0" w:color="auto"/>
            </w:tcBorders>
          </w:tcPr>
          <w:p w14:paraId="5A282713" w14:textId="77777777" w:rsidR="004E3AC5" w:rsidRPr="00BE28C4" w:rsidRDefault="00907ADD">
            <w:pPr>
              <w:pStyle w:val="TableText10"/>
              <w:tabs>
                <w:tab w:val="left" w:pos="567"/>
              </w:tabs>
              <w:rPr>
                <w:sz w:val="22"/>
                <w:szCs w:val="22"/>
              </w:rPr>
            </w:pPr>
            <w:proofErr w:type="spellStart"/>
            <w:r w:rsidRPr="00BE28C4">
              <w:rPr>
                <w:sz w:val="22"/>
                <w:szCs w:val="22"/>
              </w:rPr>
              <w:t>Dyzuria</w:t>
            </w:r>
            <w:proofErr w:type="spellEnd"/>
            <w:r w:rsidRPr="00BE28C4">
              <w:rPr>
                <w:sz w:val="22"/>
                <w:szCs w:val="22"/>
              </w:rPr>
              <w:t>, częstomocz, częste oddawanie i (lub) zatrzymanie moczu</w:t>
            </w:r>
          </w:p>
        </w:tc>
      </w:tr>
      <w:tr w:rsidR="00BE28C4" w:rsidRPr="00BE28C4" w14:paraId="43575F20" w14:textId="77777777" w:rsidTr="00C313CE">
        <w:trPr>
          <w:cantSplit/>
        </w:trPr>
        <w:tc>
          <w:tcPr>
            <w:tcW w:w="2376" w:type="dxa"/>
            <w:vMerge w:val="restart"/>
            <w:tcBorders>
              <w:top w:val="single" w:sz="4" w:space="0" w:color="auto"/>
              <w:left w:val="single" w:sz="4" w:space="0" w:color="auto"/>
              <w:right w:val="single" w:sz="4" w:space="0" w:color="auto"/>
            </w:tcBorders>
          </w:tcPr>
          <w:p w14:paraId="4B7DD4FD" w14:textId="77777777" w:rsidR="004E3AC5" w:rsidRPr="00BE28C4" w:rsidRDefault="00907ADD">
            <w:pPr>
              <w:pStyle w:val="TableText10"/>
              <w:tabs>
                <w:tab w:val="left" w:pos="567"/>
              </w:tabs>
              <w:rPr>
                <w:sz w:val="22"/>
                <w:szCs w:val="22"/>
              </w:rPr>
            </w:pPr>
            <w:r w:rsidRPr="00BE28C4">
              <w:rPr>
                <w:sz w:val="22"/>
                <w:szCs w:val="22"/>
              </w:rPr>
              <w:t>Zaburzenia układu rozrodczego i piersi</w:t>
            </w:r>
          </w:p>
        </w:tc>
        <w:tc>
          <w:tcPr>
            <w:tcW w:w="2268" w:type="dxa"/>
            <w:tcBorders>
              <w:top w:val="single" w:sz="4" w:space="0" w:color="auto"/>
              <w:left w:val="single" w:sz="4" w:space="0" w:color="auto"/>
              <w:bottom w:val="single" w:sz="4" w:space="0" w:color="auto"/>
              <w:right w:val="single" w:sz="4" w:space="0" w:color="auto"/>
            </w:tcBorders>
          </w:tcPr>
          <w:p w14:paraId="3560CA26" w14:textId="77777777" w:rsidR="004E3AC5" w:rsidRPr="00BE28C4" w:rsidRDefault="00907ADD">
            <w:pPr>
              <w:pStyle w:val="TableText10"/>
              <w:tabs>
                <w:tab w:val="left" w:pos="567"/>
              </w:tabs>
              <w:rPr>
                <w:sz w:val="22"/>
                <w:szCs w:val="22"/>
              </w:rPr>
            </w:pPr>
            <w:r w:rsidRPr="00BE28C4">
              <w:rPr>
                <w:sz w:val="22"/>
                <w:szCs w:val="22"/>
              </w:rPr>
              <w:t>Niezbyt często</w:t>
            </w:r>
          </w:p>
        </w:tc>
        <w:tc>
          <w:tcPr>
            <w:tcW w:w="4554" w:type="dxa"/>
            <w:tcBorders>
              <w:top w:val="single" w:sz="4" w:space="0" w:color="auto"/>
              <w:left w:val="single" w:sz="4" w:space="0" w:color="auto"/>
              <w:bottom w:val="single" w:sz="4" w:space="0" w:color="auto"/>
              <w:right w:val="single" w:sz="4" w:space="0" w:color="auto"/>
            </w:tcBorders>
          </w:tcPr>
          <w:p w14:paraId="5D37DE48" w14:textId="77777777" w:rsidR="004E3AC5" w:rsidRPr="00BE28C4" w:rsidRDefault="00907ADD">
            <w:pPr>
              <w:pStyle w:val="TableText10"/>
              <w:tabs>
                <w:tab w:val="left" w:pos="567"/>
              </w:tabs>
              <w:rPr>
                <w:sz w:val="22"/>
                <w:szCs w:val="22"/>
              </w:rPr>
            </w:pPr>
            <w:r w:rsidRPr="00BE28C4">
              <w:rPr>
                <w:sz w:val="22"/>
                <w:szCs w:val="22"/>
              </w:rPr>
              <w:t>Zaburzenia wzwodu</w:t>
            </w:r>
          </w:p>
        </w:tc>
      </w:tr>
      <w:tr w:rsidR="00BE28C4" w:rsidRPr="00BE28C4" w14:paraId="2DEA8EF1" w14:textId="77777777" w:rsidTr="00C313CE">
        <w:trPr>
          <w:cantSplit/>
        </w:trPr>
        <w:tc>
          <w:tcPr>
            <w:tcW w:w="2376" w:type="dxa"/>
            <w:vMerge/>
            <w:tcBorders>
              <w:left w:val="single" w:sz="4" w:space="0" w:color="auto"/>
              <w:bottom w:val="single" w:sz="4" w:space="0" w:color="auto"/>
              <w:right w:val="single" w:sz="4" w:space="0" w:color="auto"/>
            </w:tcBorders>
          </w:tcPr>
          <w:p w14:paraId="09E928D8"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0D08E41" w14:textId="77777777" w:rsidR="004E3AC5" w:rsidRPr="00BE28C4" w:rsidRDefault="00907ADD">
            <w:pPr>
              <w:pStyle w:val="TableText10"/>
              <w:tabs>
                <w:tab w:val="left" w:pos="567"/>
              </w:tabs>
              <w:rPr>
                <w:sz w:val="22"/>
                <w:szCs w:val="22"/>
              </w:rPr>
            </w:pPr>
            <w:r w:rsidRPr="00BE28C4">
              <w:rPr>
                <w:sz w:val="22"/>
                <w:szCs w:val="22"/>
              </w:rPr>
              <w:t xml:space="preserve">Rzadko </w:t>
            </w:r>
          </w:p>
        </w:tc>
        <w:tc>
          <w:tcPr>
            <w:tcW w:w="4554" w:type="dxa"/>
            <w:tcBorders>
              <w:top w:val="single" w:sz="4" w:space="0" w:color="auto"/>
              <w:left w:val="single" w:sz="4" w:space="0" w:color="auto"/>
              <w:bottom w:val="single" w:sz="4" w:space="0" w:color="auto"/>
              <w:right w:val="single" w:sz="4" w:space="0" w:color="auto"/>
            </w:tcBorders>
          </w:tcPr>
          <w:p w14:paraId="6BEE3EC2" w14:textId="77777777" w:rsidR="004E3AC5" w:rsidRPr="00BE28C4" w:rsidRDefault="00907ADD">
            <w:pPr>
              <w:pStyle w:val="TableText10"/>
              <w:tabs>
                <w:tab w:val="left" w:pos="567"/>
              </w:tabs>
              <w:rPr>
                <w:sz w:val="22"/>
                <w:szCs w:val="22"/>
              </w:rPr>
            </w:pPr>
            <w:r w:rsidRPr="00BE28C4">
              <w:rPr>
                <w:sz w:val="22"/>
                <w:szCs w:val="22"/>
              </w:rPr>
              <w:t>Nieregularne miesiączkowanie, krwawienie z dróg rodnych, suchość sromu i pochwy</w:t>
            </w:r>
          </w:p>
        </w:tc>
      </w:tr>
      <w:tr w:rsidR="00BE28C4" w:rsidRPr="00BE28C4" w14:paraId="62A7E8FC" w14:textId="77777777" w:rsidTr="00C313CE">
        <w:trPr>
          <w:cantSplit/>
          <w:trHeight w:val="144"/>
        </w:trPr>
        <w:tc>
          <w:tcPr>
            <w:tcW w:w="2376" w:type="dxa"/>
            <w:vMerge w:val="restart"/>
            <w:tcBorders>
              <w:top w:val="single" w:sz="4" w:space="0" w:color="auto"/>
              <w:left w:val="single" w:sz="4" w:space="0" w:color="auto"/>
              <w:right w:val="single" w:sz="4" w:space="0" w:color="auto"/>
            </w:tcBorders>
          </w:tcPr>
          <w:p w14:paraId="1A7A6DC6" w14:textId="77777777" w:rsidR="004E3AC5" w:rsidRPr="00BE28C4" w:rsidRDefault="00907ADD">
            <w:pPr>
              <w:pStyle w:val="TableText10"/>
              <w:keepNext/>
              <w:tabs>
                <w:tab w:val="left" w:pos="567"/>
              </w:tabs>
              <w:rPr>
                <w:sz w:val="22"/>
                <w:szCs w:val="22"/>
              </w:rPr>
            </w:pPr>
            <w:r w:rsidRPr="00BE28C4">
              <w:rPr>
                <w:sz w:val="22"/>
                <w:szCs w:val="22"/>
              </w:rPr>
              <w:t>Zaburzenia ogólne i stany w miejscu podania</w:t>
            </w:r>
          </w:p>
        </w:tc>
        <w:tc>
          <w:tcPr>
            <w:tcW w:w="2268" w:type="dxa"/>
            <w:tcBorders>
              <w:top w:val="single" w:sz="4" w:space="0" w:color="auto"/>
              <w:left w:val="single" w:sz="4" w:space="0" w:color="auto"/>
              <w:right w:val="single" w:sz="4" w:space="0" w:color="auto"/>
            </w:tcBorders>
          </w:tcPr>
          <w:p w14:paraId="65D1FD93" w14:textId="77777777" w:rsidR="004E3AC5" w:rsidRPr="00BE28C4" w:rsidRDefault="00907ADD">
            <w:pPr>
              <w:pStyle w:val="TableText10"/>
              <w:keepNext/>
              <w:tabs>
                <w:tab w:val="left" w:pos="567"/>
              </w:tabs>
              <w:rPr>
                <w:sz w:val="22"/>
                <w:szCs w:val="22"/>
              </w:rPr>
            </w:pPr>
            <w:r w:rsidRPr="00BE28C4">
              <w:rPr>
                <w:sz w:val="22"/>
                <w:szCs w:val="22"/>
              </w:rPr>
              <w:t>Często</w:t>
            </w:r>
          </w:p>
        </w:tc>
        <w:tc>
          <w:tcPr>
            <w:tcW w:w="4554" w:type="dxa"/>
            <w:tcBorders>
              <w:top w:val="single" w:sz="4" w:space="0" w:color="auto"/>
              <w:left w:val="single" w:sz="4" w:space="0" w:color="auto"/>
              <w:right w:val="single" w:sz="4" w:space="0" w:color="auto"/>
            </w:tcBorders>
          </w:tcPr>
          <w:p w14:paraId="43F9D688" w14:textId="77777777" w:rsidR="004E3AC5" w:rsidRPr="00BE28C4" w:rsidRDefault="00907ADD">
            <w:pPr>
              <w:pStyle w:val="TableText10"/>
              <w:keepNext/>
              <w:tabs>
                <w:tab w:val="left" w:pos="567"/>
              </w:tabs>
              <w:rPr>
                <w:sz w:val="22"/>
                <w:szCs w:val="22"/>
              </w:rPr>
            </w:pPr>
            <w:r w:rsidRPr="00BE28C4">
              <w:rPr>
                <w:sz w:val="22"/>
                <w:szCs w:val="22"/>
              </w:rPr>
              <w:t>Zmęczenie, uczucie roztrzęsienia, rozdrażnienie</w:t>
            </w:r>
          </w:p>
        </w:tc>
      </w:tr>
      <w:tr w:rsidR="00BE28C4" w:rsidRPr="00BE28C4" w14:paraId="51C8950F" w14:textId="77777777" w:rsidTr="00C313CE">
        <w:trPr>
          <w:cantSplit/>
        </w:trPr>
        <w:tc>
          <w:tcPr>
            <w:tcW w:w="2376" w:type="dxa"/>
            <w:vMerge/>
            <w:tcBorders>
              <w:left w:val="single" w:sz="4" w:space="0" w:color="auto"/>
              <w:right w:val="single" w:sz="4" w:space="0" w:color="auto"/>
            </w:tcBorders>
          </w:tcPr>
          <w:p w14:paraId="5EA1F39F"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60C0012" w14:textId="77777777" w:rsidR="004E3AC5" w:rsidRPr="00BE28C4" w:rsidRDefault="00907ADD">
            <w:pPr>
              <w:pStyle w:val="TableText10"/>
              <w:tabs>
                <w:tab w:val="left" w:pos="567"/>
              </w:tabs>
              <w:rPr>
                <w:sz w:val="22"/>
                <w:szCs w:val="22"/>
              </w:rPr>
            </w:pPr>
            <w:r w:rsidRPr="00BE28C4">
              <w:rPr>
                <w:sz w:val="22"/>
                <w:szCs w:val="22"/>
              </w:rPr>
              <w:t xml:space="preserve">Niezbyt często </w:t>
            </w:r>
          </w:p>
        </w:tc>
        <w:tc>
          <w:tcPr>
            <w:tcW w:w="4554" w:type="dxa"/>
            <w:tcBorders>
              <w:top w:val="single" w:sz="4" w:space="0" w:color="auto"/>
              <w:left w:val="single" w:sz="4" w:space="0" w:color="auto"/>
              <w:bottom w:val="single" w:sz="4" w:space="0" w:color="auto"/>
              <w:right w:val="single" w:sz="4" w:space="0" w:color="auto"/>
            </w:tcBorders>
          </w:tcPr>
          <w:p w14:paraId="156B55D5" w14:textId="77777777" w:rsidR="004E3AC5" w:rsidRPr="00BE28C4" w:rsidRDefault="00907ADD">
            <w:pPr>
              <w:pStyle w:val="TableText10"/>
              <w:tabs>
                <w:tab w:val="left" w:pos="567"/>
              </w:tabs>
              <w:rPr>
                <w:sz w:val="22"/>
                <w:szCs w:val="22"/>
              </w:rPr>
            </w:pPr>
            <w:r w:rsidRPr="00BE28C4">
              <w:rPr>
                <w:sz w:val="22"/>
                <w:szCs w:val="22"/>
              </w:rPr>
              <w:t>Ogólne osłabienie, złe samopoczucie, uczucie gorąca, wzmożone łaknienie, pragnienie</w:t>
            </w:r>
          </w:p>
        </w:tc>
      </w:tr>
      <w:tr w:rsidR="00BE28C4" w:rsidRPr="00BE28C4" w14:paraId="5523E2EA" w14:textId="77777777" w:rsidTr="00C313CE">
        <w:trPr>
          <w:cantSplit/>
        </w:trPr>
        <w:tc>
          <w:tcPr>
            <w:tcW w:w="2376" w:type="dxa"/>
            <w:vMerge/>
            <w:tcBorders>
              <w:left w:val="single" w:sz="4" w:space="0" w:color="auto"/>
              <w:right w:val="single" w:sz="4" w:space="0" w:color="auto"/>
            </w:tcBorders>
          </w:tcPr>
          <w:p w14:paraId="170B41A2"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5E1ADE2" w14:textId="77777777" w:rsidR="004E3AC5" w:rsidRPr="00BE28C4" w:rsidRDefault="00907ADD">
            <w:pPr>
              <w:pStyle w:val="TableText10"/>
              <w:tabs>
                <w:tab w:val="left" w:pos="567"/>
              </w:tabs>
              <w:rPr>
                <w:sz w:val="22"/>
                <w:szCs w:val="22"/>
              </w:rPr>
            </w:pPr>
            <w:r w:rsidRPr="00BE28C4">
              <w:rPr>
                <w:sz w:val="22"/>
                <w:szCs w:val="22"/>
              </w:rPr>
              <w:t>Rzadko</w:t>
            </w:r>
          </w:p>
        </w:tc>
        <w:tc>
          <w:tcPr>
            <w:tcW w:w="4554" w:type="dxa"/>
            <w:tcBorders>
              <w:top w:val="single" w:sz="4" w:space="0" w:color="auto"/>
              <w:left w:val="single" w:sz="4" w:space="0" w:color="auto"/>
              <w:bottom w:val="single" w:sz="4" w:space="0" w:color="auto"/>
              <w:right w:val="single" w:sz="4" w:space="0" w:color="auto"/>
            </w:tcBorders>
          </w:tcPr>
          <w:p w14:paraId="5DD87C42" w14:textId="77777777" w:rsidR="004E3AC5" w:rsidRPr="00BE28C4" w:rsidRDefault="00907ADD">
            <w:pPr>
              <w:pStyle w:val="TableText10"/>
              <w:tabs>
                <w:tab w:val="left" w:pos="567"/>
              </w:tabs>
              <w:rPr>
                <w:sz w:val="22"/>
                <w:szCs w:val="22"/>
              </w:rPr>
            </w:pPr>
            <w:r w:rsidRPr="00BE28C4">
              <w:rPr>
                <w:sz w:val="22"/>
                <w:szCs w:val="22"/>
              </w:rPr>
              <w:t>Ból w klatce piersiowej, obwodowe uczucie zimna, gorączka</w:t>
            </w:r>
          </w:p>
        </w:tc>
      </w:tr>
      <w:tr w:rsidR="00BE28C4" w:rsidRPr="00BE28C4" w14:paraId="6FD8FDF0" w14:textId="77777777" w:rsidTr="00C313CE">
        <w:trPr>
          <w:cantSplit/>
        </w:trPr>
        <w:tc>
          <w:tcPr>
            <w:tcW w:w="2376" w:type="dxa"/>
            <w:vMerge/>
            <w:tcBorders>
              <w:left w:val="single" w:sz="4" w:space="0" w:color="auto"/>
              <w:bottom w:val="single" w:sz="4" w:space="0" w:color="auto"/>
              <w:right w:val="single" w:sz="4" w:space="0" w:color="auto"/>
            </w:tcBorders>
          </w:tcPr>
          <w:p w14:paraId="5CC51D46" w14:textId="77777777" w:rsidR="004E3AC5" w:rsidRPr="00BE28C4"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100E059" w14:textId="77777777" w:rsidR="004E3AC5" w:rsidRPr="00BE28C4" w:rsidRDefault="00907ADD">
            <w:pPr>
              <w:pStyle w:val="TableText10"/>
              <w:tabs>
                <w:tab w:val="left" w:pos="567"/>
              </w:tabs>
              <w:rPr>
                <w:sz w:val="22"/>
                <w:szCs w:val="22"/>
              </w:rPr>
            </w:pPr>
            <w:r w:rsidRPr="00BE28C4">
              <w:rPr>
                <w:sz w:val="22"/>
                <w:szCs w:val="22"/>
              </w:rPr>
              <w:t>Częstość nieznana</w:t>
            </w:r>
          </w:p>
        </w:tc>
        <w:tc>
          <w:tcPr>
            <w:tcW w:w="4554" w:type="dxa"/>
            <w:tcBorders>
              <w:top w:val="single" w:sz="4" w:space="0" w:color="auto"/>
              <w:left w:val="single" w:sz="4" w:space="0" w:color="auto"/>
              <w:bottom w:val="single" w:sz="4" w:space="0" w:color="auto"/>
              <w:right w:val="single" w:sz="4" w:space="0" w:color="auto"/>
            </w:tcBorders>
          </w:tcPr>
          <w:p w14:paraId="69AB689B" w14:textId="77777777" w:rsidR="004E3AC5" w:rsidRPr="00BE28C4" w:rsidRDefault="00907ADD">
            <w:pPr>
              <w:pStyle w:val="TableText10"/>
              <w:tabs>
                <w:tab w:val="left" w:pos="567"/>
              </w:tabs>
              <w:rPr>
                <w:sz w:val="22"/>
                <w:szCs w:val="22"/>
              </w:rPr>
            </w:pPr>
            <w:r w:rsidRPr="00BE28C4">
              <w:rPr>
                <w:sz w:val="22"/>
                <w:szCs w:val="22"/>
              </w:rPr>
              <w:t>Dreszcze, uczucie przypływu energii</w:t>
            </w:r>
          </w:p>
        </w:tc>
      </w:tr>
      <w:tr w:rsidR="004E3AC5" w:rsidRPr="00BE28C4" w14:paraId="52191543" w14:textId="77777777" w:rsidTr="00C313CE">
        <w:trPr>
          <w:cantSplit/>
        </w:trPr>
        <w:tc>
          <w:tcPr>
            <w:tcW w:w="9198" w:type="dxa"/>
            <w:gridSpan w:val="3"/>
            <w:tcBorders>
              <w:top w:val="single" w:sz="4" w:space="0" w:color="auto"/>
              <w:left w:val="nil"/>
              <w:bottom w:val="nil"/>
              <w:right w:val="nil"/>
            </w:tcBorders>
          </w:tcPr>
          <w:p w14:paraId="7292D526" w14:textId="7EF042FE" w:rsidR="00C313CE" w:rsidRPr="00BE28C4" w:rsidRDefault="00C313CE" w:rsidP="00C313CE">
            <w:pPr>
              <w:keepNext/>
              <w:tabs>
                <w:tab w:val="clear" w:pos="567"/>
                <w:tab w:val="left" w:pos="-720"/>
                <w:tab w:val="left" w:pos="4536"/>
              </w:tabs>
              <w:suppressAutoHyphens/>
              <w:spacing w:line="240" w:lineRule="auto"/>
              <w:outlineLvl w:val="6"/>
              <w:rPr>
                <w:szCs w:val="22"/>
              </w:rPr>
            </w:pPr>
          </w:p>
          <w:p w14:paraId="705A4514" w14:textId="10BB551E" w:rsidR="004E3AC5" w:rsidRPr="00BE28C4" w:rsidRDefault="004E3AC5">
            <w:pPr>
              <w:pStyle w:val="TableText10"/>
              <w:ind w:left="886" w:hanging="886"/>
              <w:rPr>
                <w:sz w:val="22"/>
                <w:szCs w:val="22"/>
              </w:rPr>
            </w:pPr>
          </w:p>
        </w:tc>
      </w:tr>
    </w:tbl>
    <w:p w14:paraId="55DD0A1D" w14:textId="70066F96" w:rsidR="00C313CE" w:rsidRPr="00BE28C4" w:rsidRDefault="00C313CE" w:rsidP="00C313CE">
      <w:pPr>
        <w:keepNext/>
        <w:tabs>
          <w:tab w:val="clear" w:pos="567"/>
          <w:tab w:val="left" w:pos="-720"/>
          <w:tab w:val="left" w:pos="4536"/>
        </w:tabs>
        <w:suppressAutoHyphens/>
        <w:spacing w:line="240" w:lineRule="auto"/>
        <w:ind w:left="886" w:hanging="886"/>
        <w:outlineLvl w:val="6"/>
        <w:rPr>
          <w:szCs w:val="22"/>
        </w:rPr>
      </w:pPr>
      <w:r w:rsidRPr="00BE28C4">
        <w:rPr>
          <w:szCs w:val="22"/>
        </w:rPr>
        <w:t>*</w:t>
      </w:r>
      <w:r w:rsidRPr="00BE28C4">
        <w:rPr>
          <w:szCs w:val="22"/>
        </w:rPr>
        <w:tab/>
        <w:t xml:space="preserve">W trakcie leczenia NB zgłaszano przypadki myśli i </w:t>
      </w:r>
      <w:proofErr w:type="spellStart"/>
      <w:r w:rsidRPr="00BE28C4">
        <w:rPr>
          <w:szCs w:val="22"/>
        </w:rPr>
        <w:t>zachowań</w:t>
      </w:r>
      <w:proofErr w:type="spellEnd"/>
      <w:r w:rsidRPr="00BE28C4">
        <w:rPr>
          <w:szCs w:val="22"/>
        </w:rPr>
        <w:t xml:space="preserve"> samobójczych (patrz punkt 4.4).</w:t>
      </w:r>
    </w:p>
    <w:p w14:paraId="1BD9E8E8" w14:textId="77777777" w:rsidR="00C313CE" w:rsidRPr="00BE28C4" w:rsidRDefault="00C313CE" w:rsidP="00C313CE">
      <w:pPr>
        <w:keepNext/>
        <w:tabs>
          <w:tab w:val="clear" w:pos="567"/>
          <w:tab w:val="left" w:pos="-720"/>
          <w:tab w:val="left" w:pos="4536"/>
        </w:tabs>
        <w:suppressAutoHyphens/>
        <w:spacing w:line="240" w:lineRule="auto"/>
        <w:ind w:left="886" w:hanging="886"/>
        <w:outlineLvl w:val="6"/>
        <w:rPr>
          <w:szCs w:val="22"/>
        </w:rPr>
      </w:pPr>
      <w:r w:rsidRPr="00BE28C4">
        <w:rPr>
          <w:szCs w:val="22"/>
        </w:rPr>
        <w:t>**</w:t>
      </w:r>
      <w:r w:rsidRPr="00BE28C4">
        <w:rPr>
          <w:szCs w:val="22"/>
        </w:rPr>
        <w:tab/>
        <w:t xml:space="preserve">Częstość występowania napadów wynosi około 0,1% (1/1000). Najczęstszym typem napadów są uogólnione napady toniczno-kloniczne. Jest to rodzaj napadów, po których w części przypadków następuje </w:t>
      </w:r>
      <w:proofErr w:type="spellStart"/>
      <w:r w:rsidRPr="00BE28C4">
        <w:rPr>
          <w:szCs w:val="22"/>
        </w:rPr>
        <w:t>ponapadowy</w:t>
      </w:r>
      <w:proofErr w:type="spellEnd"/>
      <w:r w:rsidRPr="00BE28C4">
        <w:rPr>
          <w:szCs w:val="22"/>
        </w:rPr>
        <w:t xml:space="preserve"> stan splątania lub </w:t>
      </w:r>
      <w:proofErr w:type="spellStart"/>
      <w:r w:rsidRPr="00BE28C4">
        <w:rPr>
          <w:szCs w:val="22"/>
        </w:rPr>
        <w:t>ponapadowe</w:t>
      </w:r>
      <w:proofErr w:type="spellEnd"/>
      <w:r w:rsidRPr="00BE28C4">
        <w:rPr>
          <w:szCs w:val="22"/>
        </w:rPr>
        <w:t xml:space="preserve"> zaburzenie pamięci (patrz punkt 4.4).</w:t>
      </w:r>
    </w:p>
    <w:p w14:paraId="11C8D51D" w14:textId="77777777" w:rsidR="00C313CE" w:rsidRPr="00BE28C4" w:rsidRDefault="00C313CE" w:rsidP="00C313CE">
      <w:pPr>
        <w:pStyle w:val="TableText10"/>
        <w:ind w:left="886" w:hanging="886"/>
        <w:rPr>
          <w:sz w:val="22"/>
          <w:szCs w:val="22"/>
        </w:rPr>
      </w:pPr>
      <w:r w:rsidRPr="00BE28C4">
        <w:rPr>
          <w:sz w:val="22"/>
          <w:szCs w:val="22"/>
        </w:rPr>
        <w:t>***</w:t>
      </w:r>
      <w:r w:rsidRPr="00BE28C4">
        <w:rPr>
          <w:sz w:val="22"/>
          <w:szCs w:val="22"/>
        </w:rPr>
        <w:tab/>
        <w:t>Ból zęba i próchnica, choć nie spełniają kryteriów uzasadniających umieszczenie w powyższej tabeli, zostały w niej umieszczone ze względu na podgrupę pacjentów z suchością w jamie ustnej, w której to wśród osób otrzymujących NB bóle zębów i próchnica występowały ze zwiększoną częstością w porównaniu do osób otrzymujących placebo.</w:t>
      </w:r>
    </w:p>
    <w:p w14:paraId="60A4824A" w14:textId="77777777" w:rsidR="00C313CE" w:rsidRPr="00BE28C4" w:rsidRDefault="00C313CE" w:rsidP="00C313CE">
      <w:pPr>
        <w:pStyle w:val="TableText10"/>
        <w:ind w:left="886" w:hanging="886"/>
        <w:rPr>
          <w:sz w:val="22"/>
          <w:szCs w:val="22"/>
        </w:rPr>
      </w:pPr>
      <w:r w:rsidRPr="00BE28C4">
        <w:rPr>
          <w:sz w:val="22"/>
          <w:szCs w:val="22"/>
        </w:rPr>
        <w:t>****</w:t>
      </w:r>
      <w:r w:rsidRPr="00BE28C4">
        <w:rPr>
          <w:sz w:val="22"/>
          <w:szCs w:val="22"/>
        </w:rPr>
        <w:tab/>
        <w:t xml:space="preserve">Zespół serotoninowy może wystąpić w następstwie interakcji </w:t>
      </w:r>
      <w:proofErr w:type="spellStart"/>
      <w:r w:rsidRPr="00BE28C4">
        <w:rPr>
          <w:sz w:val="22"/>
          <w:szCs w:val="22"/>
        </w:rPr>
        <w:t>bupropionu</w:t>
      </w:r>
      <w:proofErr w:type="spellEnd"/>
      <w:r w:rsidRPr="00BE28C4">
        <w:rPr>
          <w:sz w:val="22"/>
          <w:szCs w:val="22"/>
        </w:rPr>
        <w:t xml:space="preserve"> z produktem leczniczym o działaniu serotoninergicznym (np. selektywne inhibitory wychwytu zwrotnego serotoniny (</w:t>
      </w:r>
      <w:proofErr w:type="spellStart"/>
      <w:r w:rsidRPr="00BE28C4">
        <w:rPr>
          <w:sz w:val="22"/>
          <w:szCs w:val="22"/>
        </w:rPr>
        <w:t>Selective</w:t>
      </w:r>
      <w:proofErr w:type="spellEnd"/>
      <w:r w:rsidRPr="00BE28C4">
        <w:rPr>
          <w:sz w:val="22"/>
          <w:szCs w:val="22"/>
        </w:rPr>
        <w:t xml:space="preserve"> Serotonin </w:t>
      </w:r>
      <w:proofErr w:type="spellStart"/>
      <w:r w:rsidRPr="00BE28C4">
        <w:rPr>
          <w:sz w:val="22"/>
          <w:szCs w:val="22"/>
        </w:rPr>
        <w:t>Reuptake</w:t>
      </w:r>
      <w:proofErr w:type="spellEnd"/>
      <w:r w:rsidRPr="00BE28C4">
        <w:rPr>
          <w:sz w:val="22"/>
          <w:szCs w:val="22"/>
        </w:rPr>
        <w:t xml:space="preserve"> Inhibitor, SSRI) albo inhibitory wychwytu zwrotnego serotoniny i noradrenaliny (Serotonin </w:t>
      </w:r>
      <w:proofErr w:type="spellStart"/>
      <w:r w:rsidRPr="00BE28C4">
        <w:rPr>
          <w:sz w:val="22"/>
          <w:szCs w:val="22"/>
        </w:rPr>
        <w:t>Norepinephrine</w:t>
      </w:r>
      <w:proofErr w:type="spellEnd"/>
      <w:r w:rsidRPr="00BE28C4">
        <w:rPr>
          <w:sz w:val="22"/>
          <w:szCs w:val="22"/>
        </w:rPr>
        <w:t xml:space="preserve"> </w:t>
      </w:r>
      <w:proofErr w:type="spellStart"/>
      <w:r w:rsidRPr="00BE28C4">
        <w:rPr>
          <w:sz w:val="22"/>
          <w:szCs w:val="22"/>
        </w:rPr>
        <w:t>Reuptake</w:t>
      </w:r>
      <w:proofErr w:type="spellEnd"/>
      <w:r w:rsidRPr="00BE28C4">
        <w:rPr>
          <w:sz w:val="22"/>
          <w:szCs w:val="22"/>
        </w:rPr>
        <w:t xml:space="preserve"> Inhibitor, SNRI) i </w:t>
      </w:r>
      <w:proofErr w:type="spellStart"/>
      <w:r w:rsidRPr="00BE28C4">
        <w:rPr>
          <w:sz w:val="22"/>
          <w:szCs w:val="22"/>
        </w:rPr>
        <w:t>opioidy</w:t>
      </w:r>
      <w:proofErr w:type="spellEnd"/>
      <w:r w:rsidRPr="00BE28C4">
        <w:rPr>
          <w:sz w:val="22"/>
          <w:szCs w:val="22"/>
        </w:rPr>
        <w:t xml:space="preserve"> (patrz punkty 4.4 i 4.5)).</w:t>
      </w:r>
    </w:p>
    <w:p w14:paraId="27519511" w14:textId="22273909" w:rsidR="004E3AC5" w:rsidRPr="00BE28C4" w:rsidRDefault="00C313CE" w:rsidP="00C313CE">
      <w:pPr>
        <w:spacing w:line="240" w:lineRule="auto"/>
        <w:ind w:left="450" w:hanging="450"/>
        <w:rPr>
          <w:i/>
          <w:szCs w:val="22"/>
        </w:rPr>
      </w:pPr>
      <w:r w:rsidRPr="00BE28C4">
        <w:rPr>
          <w:szCs w:val="22"/>
        </w:rPr>
        <w:lastRenderedPageBreak/>
        <w:t>*****</w:t>
      </w:r>
      <w:r w:rsidRPr="00BE28C4">
        <w:rPr>
          <w:szCs w:val="22"/>
        </w:rPr>
        <w:tab/>
        <w:t>Po wprowadzeniu produktu do obrotu zgłaszano przypadki występowania przełomu nadciśnieniowego w trakcie początkowej fazy dostosowywania dawki.</w:t>
      </w:r>
    </w:p>
    <w:p w14:paraId="68D81F9D" w14:textId="77777777" w:rsidR="00C313CE" w:rsidRDefault="00C313CE">
      <w:pPr>
        <w:widowControl w:val="0"/>
        <w:tabs>
          <w:tab w:val="left" w:pos="720"/>
        </w:tabs>
        <w:autoSpaceDE w:val="0"/>
        <w:autoSpaceDN w:val="0"/>
        <w:adjustRightInd w:val="0"/>
        <w:spacing w:line="240" w:lineRule="auto"/>
        <w:rPr>
          <w:lang w:val="pl"/>
        </w:rPr>
      </w:pPr>
      <w:bookmarkStart w:id="6" w:name="_Hlk521937141"/>
    </w:p>
    <w:p w14:paraId="7FD06BF6" w14:textId="3DBBCDEF" w:rsidR="004E3AC5" w:rsidRPr="00BE28C4" w:rsidRDefault="00907ADD">
      <w:pPr>
        <w:widowControl w:val="0"/>
        <w:tabs>
          <w:tab w:val="left" w:pos="720"/>
        </w:tabs>
        <w:autoSpaceDE w:val="0"/>
        <w:autoSpaceDN w:val="0"/>
        <w:adjustRightInd w:val="0"/>
        <w:spacing w:line="240" w:lineRule="auto"/>
      </w:pPr>
      <w:r w:rsidRPr="00BE28C4">
        <w:rPr>
          <w:lang w:val="pl"/>
        </w:rPr>
        <w:t>Jako że NB jest stałym skojarzeniem dwóch substancji aktywnych, oprócz terminów wymienionych w tabeli 1, mogą potencjalnie wystąpić dodatkowe działania niepożądane jednej z substancji aktywnych. Dodatkowe skutki niepożądane występujące w przypadku stosowania jednego ze składników (</w:t>
      </w:r>
      <w:proofErr w:type="spellStart"/>
      <w:r w:rsidRPr="00BE28C4">
        <w:rPr>
          <w:lang w:val="pl"/>
        </w:rPr>
        <w:t>bupropionu</w:t>
      </w:r>
      <w:proofErr w:type="spellEnd"/>
      <w:r w:rsidRPr="00BE28C4">
        <w:rPr>
          <w:lang w:val="pl"/>
        </w:rPr>
        <w:t xml:space="preserve"> lub </w:t>
      </w:r>
      <w:proofErr w:type="spellStart"/>
      <w:r w:rsidRPr="00BE28C4">
        <w:rPr>
          <w:lang w:val="pl"/>
        </w:rPr>
        <w:t>naltreksonu</w:t>
      </w:r>
      <w:proofErr w:type="spellEnd"/>
      <w:r w:rsidRPr="00BE28C4">
        <w:rPr>
          <w:lang w:val="pl"/>
        </w:rPr>
        <w:t>) ze wskazań innych niż leczenie otyłości zostały zestawione w tabeli 2.</w:t>
      </w:r>
    </w:p>
    <w:p w14:paraId="79CAC4CF" w14:textId="77777777" w:rsidR="004E3AC5" w:rsidRPr="00BE28C4" w:rsidRDefault="004E3AC5">
      <w:pPr>
        <w:widowControl w:val="0"/>
        <w:tabs>
          <w:tab w:val="left" w:pos="720"/>
        </w:tabs>
        <w:autoSpaceDE w:val="0"/>
        <w:autoSpaceDN w:val="0"/>
        <w:adjustRightInd w:val="0"/>
        <w:spacing w:line="240" w:lineRule="auto"/>
      </w:pPr>
    </w:p>
    <w:p w14:paraId="72ED308F" w14:textId="77777777" w:rsidR="004E3AC5" w:rsidRPr="00BE28C4" w:rsidRDefault="00907ADD">
      <w:pPr>
        <w:spacing w:line="240" w:lineRule="auto"/>
        <w:rPr>
          <w:b/>
        </w:rPr>
      </w:pPr>
      <w:r w:rsidRPr="00BE28C4">
        <w:rPr>
          <w:b/>
          <w:lang w:val="pl"/>
        </w:rPr>
        <w:t xml:space="preserve">Tabela 2. Działania niepożądane poszczególnych składników </w:t>
      </w:r>
      <w:proofErr w:type="spellStart"/>
      <w:r w:rsidRPr="00BE28C4">
        <w:rPr>
          <w:b/>
          <w:lang w:val="pl"/>
        </w:rPr>
        <w:t>naltreksonu</w:t>
      </w:r>
      <w:proofErr w:type="spellEnd"/>
      <w:r w:rsidRPr="00BE28C4">
        <w:rPr>
          <w:b/>
          <w:lang w:val="pl"/>
        </w:rPr>
        <w:t xml:space="preserve"> i </w:t>
      </w:r>
      <w:proofErr w:type="spellStart"/>
      <w:r w:rsidRPr="00BE28C4">
        <w:rPr>
          <w:b/>
          <w:lang w:val="pl"/>
        </w:rPr>
        <w:t>bupropionu</w:t>
      </w:r>
      <w:proofErr w:type="spellEnd"/>
      <w:r w:rsidRPr="00BE28C4">
        <w:rPr>
          <w:b/>
          <w:lang w:val="pl"/>
        </w:rPr>
        <w:t xml:space="preserve"> zidentyfikowane w odpowiednich zatwierdzonych </w:t>
      </w:r>
      <w:proofErr w:type="spellStart"/>
      <w:r w:rsidRPr="00BE28C4">
        <w:rPr>
          <w:b/>
          <w:lang w:val="pl"/>
        </w:rPr>
        <w:t>ChPL</w:t>
      </w:r>
      <w:proofErr w:type="spellEnd"/>
      <w:r w:rsidRPr="00BE28C4">
        <w:rPr>
          <w:b/>
          <w:lang w:va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1"/>
        <w:gridCol w:w="1691"/>
        <w:gridCol w:w="3841"/>
      </w:tblGrid>
      <w:tr w:rsidR="00BE28C4" w:rsidRPr="00BE28C4" w14:paraId="51E81157" w14:textId="77777777">
        <w:trPr>
          <w:trHeight w:val="144"/>
          <w:tblHeader/>
        </w:trPr>
        <w:tc>
          <w:tcPr>
            <w:tcW w:w="1948" w:type="pct"/>
            <w:shd w:val="clear" w:color="auto" w:fill="auto"/>
            <w:noWrap/>
            <w:hideMark/>
          </w:tcPr>
          <w:bookmarkEnd w:id="6"/>
          <w:p w14:paraId="106CC56E" w14:textId="77777777" w:rsidR="004E3AC5" w:rsidRPr="00BE28C4" w:rsidRDefault="00907ADD">
            <w:pPr>
              <w:spacing w:line="240" w:lineRule="auto"/>
              <w:rPr>
                <w:b/>
                <w:bCs/>
              </w:rPr>
            </w:pPr>
            <w:r w:rsidRPr="00BE28C4">
              <w:rPr>
                <w:b/>
                <w:bCs/>
                <w:lang w:val="pl"/>
              </w:rPr>
              <w:t>Klasyfikacja układów i narządów</w:t>
            </w:r>
          </w:p>
        </w:tc>
        <w:tc>
          <w:tcPr>
            <w:tcW w:w="933" w:type="pct"/>
            <w:shd w:val="clear" w:color="auto" w:fill="auto"/>
          </w:tcPr>
          <w:p w14:paraId="37DEBA98" w14:textId="77777777" w:rsidR="004E3AC5" w:rsidRPr="00BE28C4" w:rsidRDefault="00907ADD">
            <w:pPr>
              <w:spacing w:line="240" w:lineRule="auto"/>
              <w:rPr>
                <w:b/>
                <w:bCs/>
              </w:rPr>
            </w:pPr>
            <w:r w:rsidRPr="00BE28C4">
              <w:rPr>
                <w:b/>
                <w:bCs/>
                <w:lang w:val="pl"/>
              </w:rPr>
              <w:t>Częstość</w:t>
            </w:r>
          </w:p>
        </w:tc>
        <w:tc>
          <w:tcPr>
            <w:tcW w:w="2119" w:type="pct"/>
            <w:shd w:val="clear" w:color="auto" w:fill="auto"/>
            <w:noWrap/>
            <w:vAlign w:val="center"/>
            <w:hideMark/>
          </w:tcPr>
          <w:p w14:paraId="76A92472" w14:textId="77777777" w:rsidR="004E3AC5" w:rsidRPr="00BE28C4" w:rsidRDefault="00907ADD">
            <w:pPr>
              <w:spacing w:line="240" w:lineRule="auto"/>
              <w:rPr>
                <w:b/>
                <w:bCs/>
              </w:rPr>
            </w:pPr>
            <w:r w:rsidRPr="00BE28C4">
              <w:rPr>
                <w:b/>
                <w:bCs/>
                <w:lang w:val="pl"/>
              </w:rPr>
              <w:t>Reakcja niepożądana</w:t>
            </w:r>
          </w:p>
        </w:tc>
      </w:tr>
      <w:tr w:rsidR="00BE28C4" w:rsidRPr="00BE28C4" w14:paraId="5A189756" w14:textId="77777777">
        <w:trPr>
          <w:trHeight w:val="144"/>
        </w:trPr>
        <w:tc>
          <w:tcPr>
            <w:tcW w:w="1948" w:type="pct"/>
            <w:shd w:val="clear" w:color="auto" w:fill="auto"/>
            <w:noWrap/>
          </w:tcPr>
          <w:p w14:paraId="4EEE0E0C" w14:textId="77777777" w:rsidR="004E3AC5" w:rsidRPr="00BE28C4" w:rsidRDefault="00907ADD">
            <w:pPr>
              <w:spacing w:line="240" w:lineRule="auto"/>
              <w:rPr>
                <w:bCs/>
              </w:rPr>
            </w:pPr>
            <w:r w:rsidRPr="00BE28C4">
              <w:rPr>
                <w:lang w:val="pl"/>
              </w:rPr>
              <w:t>Zakażenia i </w:t>
            </w:r>
            <w:proofErr w:type="spellStart"/>
            <w:r w:rsidRPr="00BE28C4">
              <w:rPr>
                <w:lang w:val="pl"/>
              </w:rPr>
              <w:t>zara</w:t>
            </w:r>
            <w:r w:rsidRPr="00BE28C4">
              <w:t>żenia</w:t>
            </w:r>
            <w:proofErr w:type="spellEnd"/>
            <w:r w:rsidRPr="00BE28C4">
              <w:rPr>
                <w:lang w:val="pl"/>
              </w:rPr>
              <w:t xml:space="preserve"> pasożytnicze</w:t>
            </w:r>
          </w:p>
        </w:tc>
        <w:tc>
          <w:tcPr>
            <w:tcW w:w="933" w:type="pct"/>
            <w:shd w:val="clear" w:color="auto" w:fill="auto"/>
          </w:tcPr>
          <w:p w14:paraId="1D9DBB3A" w14:textId="77777777" w:rsidR="004E3AC5" w:rsidRPr="00BE28C4" w:rsidRDefault="00907ADD">
            <w:pPr>
              <w:spacing w:line="240" w:lineRule="auto"/>
              <w:rPr>
                <w:bCs/>
              </w:rPr>
            </w:pPr>
            <w:r w:rsidRPr="00BE28C4">
              <w:rPr>
                <w:lang w:val="pl"/>
              </w:rPr>
              <w:t>Niezbyt często</w:t>
            </w:r>
          </w:p>
        </w:tc>
        <w:tc>
          <w:tcPr>
            <w:tcW w:w="2119" w:type="pct"/>
            <w:shd w:val="clear" w:color="auto" w:fill="auto"/>
          </w:tcPr>
          <w:p w14:paraId="472463E1" w14:textId="77777777" w:rsidR="004E3AC5" w:rsidRPr="00BE28C4" w:rsidRDefault="00907ADD">
            <w:pPr>
              <w:spacing w:line="240" w:lineRule="auto"/>
              <w:rPr>
                <w:bCs/>
              </w:rPr>
            </w:pPr>
            <w:r w:rsidRPr="00BE28C4">
              <w:rPr>
                <w:lang w:val="pl"/>
              </w:rPr>
              <w:t>Opryszczka wargowa (N), grzybica stóp (N)</w:t>
            </w:r>
          </w:p>
        </w:tc>
      </w:tr>
      <w:tr w:rsidR="00BE28C4" w:rsidRPr="00BE28C4" w14:paraId="639AD6F5" w14:textId="77777777">
        <w:trPr>
          <w:trHeight w:val="144"/>
        </w:trPr>
        <w:tc>
          <w:tcPr>
            <w:tcW w:w="1948" w:type="pct"/>
            <w:shd w:val="clear" w:color="auto" w:fill="auto"/>
            <w:noWrap/>
          </w:tcPr>
          <w:p w14:paraId="7C72ADF5" w14:textId="77777777" w:rsidR="004E3AC5" w:rsidRPr="00BE28C4" w:rsidRDefault="00907ADD">
            <w:pPr>
              <w:spacing w:line="240" w:lineRule="auto"/>
              <w:rPr>
                <w:bCs/>
              </w:rPr>
            </w:pPr>
            <w:r w:rsidRPr="00BE28C4">
              <w:rPr>
                <w:lang w:val="pl"/>
              </w:rPr>
              <w:t>Zaburzenia krwi i układu chłonnego</w:t>
            </w:r>
          </w:p>
        </w:tc>
        <w:tc>
          <w:tcPr>
            <w:tcW w:w="933" w:type="pct"/>
            <w:shd w:val="clear" w:color="auto" w:fill="auto"/>
          </w:tcPr>
          <w:p w14:paraId="56888989" w14:textId="77777777" w:rsidR="004E3AC5" w:rsidRPr="00BE28C4" w:rsidRDefault="00907ADD">
            <w:pPr>
              <w:spacing w:line="240" w:lineRule="auto"/>
              <w:rPr>
                <w:bCs/>
              </w:rPr>
            </w:pPr>
            <w:r w:rsidRPr="00BE28C4">
              <w:rPr>
                <w:lang w:val="pl"/>
              </w:rPr>
              <w:t>Niezbyt często</w:t>
            </w:r>
          </w:p>
        </w:tc>
        <w:tc>
          <w:tcPr>
            <w:tcW w:w="2119" w:type="pct"/>
            <w:shd w:val="clear" w:color="auto" w:fill="auto"/>
          </w:tcPr>
          <w:p w14:paraId="4F113E96" w14:textId="77777777" w:rsidR="004E3AC5" w:rsidRPr="00BE28C4" w:rsidRDefault="00907ADD">
            <w:pPr>
              <w:spacing w:line="240" w:lineRule="auto"/>
              <w:rPr>
                <w:bCs/>
              </w:rPr>
            </w:pPr>
            <w:r w:rsidRPr="00BE28C4">
              <w:rPr>
                <w:lang w:val="pl"/>
              </w:rPr>
              <w:t>Samoistna plamica małopłytkowa (N)</w:t>
            </w:r>
          </w:p>
        </w:tc>
      </w:tr>
      <w:tr w:rsidR="00BE28C4" w:rsidRPr="00BE28C4" w14:paraId="0272E57E" w14:textId="77777777">
        <w:trPr>
          <w:trHeight w:val="144"/>
        </w:trPr>
        <w:tc>
          <w:tcPr>
            <w:tcW w:w="1948" w:type="pct"/>
            <w:shd w:val="clear" w:color="auto" w:fill="auto"/>
            <w:noWrap/>
          </w:tcPr>
          <w:p w14:paraId="4635665F" w14:textId="77777777" w:rsidR="004E3AC5" w:rsidRPr="00BE28C4" w:rsidRDefault="00907ADD">
            <w:pPr>
              <w:spacing w:line="240" w:lineRule="auto"/>
              <w:rPr>
                <w:bCs/>
              </w:rPr>
            </w:pPr>
            <w:r w:rsidRPr="00BE28C4">
              <w:rPr>
                <w:lang w:val="pl"/>
              </w:rPr>
              <w:t xml:space="preserve">Zaburzenia układu </w:t>
            </w:r>
            <w:r w:rsidRPr="00BE28C4">
              <w:t>immunologicznego</w:t>
            </w:r>
          </w:p>
        </w:tc>
        <w:tc>
          <w:tcPr>
            <w:tcW w:w="933" w:type="pct"/>
            <w:shd w:val="clear" w:color="auto" w:fill="auto"/>
          </w:tcPr>
          <w:p w14:paraId="09A51D89" w14:textId="77777777" w:rsidR="004E3AC5" w:rsidRPr="00BE28C4" w:rsidRDefault="00907ADD">
            <w:pPr>
              <w:spacing w:line="240" w:lineRule="auto"/>
              <w:rPr>
                <w:bCs/>
              </w:rPr>
            </w:pPr>
            <w:r w:rsidRPr="00BE28C4">
              <w:rPr>
                <w:lang w:val="pl"/>
              </w:rPr>
              <w:t>Bardzo rzadko</w:t>
            </w:r>
          </w:p>
        </w:tc>
        <w:tc>
          <w:tcPr>
            <w:tcW w:w="2119" w:type="pct"/>
            <w:shd w:val="clear" w:color="auto" w:fill="auto"/>
          </w:tcPr>
          <w:p w14:paraId="1E6ACE23" w14:textId="77777777" w:rsidR="004E3AC5" w:rsidRPr="00BE28C4" w:rsidRDefault="00907ADD">
            <w:pPr>
              <w:spacing w:line="240" w:lineRule="auto"/>
              <w:rPr>
                <w:bCs/>
              </w:rPr>
            </w:pPr>
            <w:r w:rsidRPr="00BE28C4">
              <w:t>Cięższe</w:t>
            </w:r>
            <w:r w:rsidRPr="00BE28C4">
              <w:rPr>
                <w:lang w:val="pl"/>
              </w:rPr>
              <w:t xml:space="preserve"> reakcje nadwrażliwości, w tym obrzęk naczynioruchowy, duszność/skurcz oskrzeli i wstrząs anafilaktyczny. Zgłaszano również bóle stawów, bóle mięśni i gorączkę, które towarzyszyły wysypce i innym objawom wskazującym na nadwrażliwość typu późnego. Te objawy mogą przypominać chorobę posurowiczą. (B)</w:t>
            </w:r>
          </w:p>
        </w:tc>
      </w:tr>
      <w:tr w:rsidR="00BE28C4" w:rsidRPr="00BE28C4" w14:paraId="28508344" w14:textId="77777777">
        <w:trPr>
          <w:trHeight w:val="144"/>
        </w:trPr>
        <w:tc>
          <w:tcPr>
            <w:tcW w:w="1948" w:type="pct"/>
            <w:vMerge w:val="restart"/>
            <w:shd w:val="clear" w:color="auto" w:fill="auto"/>
            <w:noWrap/>
          </w:tcPr>
          <w:p w14:paraId="0CDABEE9" w14:textId="77777777" w:rsidR="004E3AC5" w:rsidRPr="00BE28C4" w:rsidRDefault="00907ADD">
            <w:pPr>
              <w:spacing w:line="240" w:lineRule="auto"/>
              <w:rPr>
                <w:bCs/>
              </w:rPr>
            </w:pPr>
            <w:r w:rsidRPr="00BE28C4">
              <w:rPr>
                <w:lang w:val="pl"/>
              </w:rPr>
              <w:t>Zaburzenia metabolizmu i odżywiania</w:t>
            </w:r>
          </w:p>
        </w:tc>
        <w:tc>
          <w:tcPr>
            <w:tcW w:w="933" w:type="pct"/>
            <w:shd w:val="clear" w:color="auto" w:fill="auto"/>
          </w:tcPr>
          <w:p w14:paraId="3EDAA399" w14:textId="77777777" w:rsidR="004E3AC5" w:rsidRPr="00BE28C4" w:rsidRDefault="00907ADD">
            <w:pPr>
              <w:spacing w:line="240" w:lineRule="auto"/>
              <w:rPr>
                <w:bCs/>
              </w:rPr>
            </w:pPr>
            <w:r w:rsidRPr="00BE28C4">
              <w:rPr>
                <w:lang w:val="pl"/>
              </w:rPr>
              <w:t>Często</w:t>
            </w:r>
          </w:p>
        </w:tc>
        <w:tc>
          <w:tcPr>
            <w:tcW w:w="2119" w:type="pct"/>
            <w:shd w:val="clear" w:color="auto" w:fill="auto"/>
          </w:tcPr>
          <w:p w14:paraId="64C302D5" w14:textId="77777777" w:rsidR="004E3AC5" w:rsidRPr="00BE28C4" w:rsidRDefault="00907ADD">
            <w:pPr>
              <w:spacing w:line="240" w:lineRule="auto"/>
              <w:rPr>
                <w:bCs/>
              </w:rPr>
            </w:pPr>
            <w:r w:rsidRPr="00BE28C4">
              <w:rPr>
                <w:lang w:val="pl"/>
              </w:rPr>
              <w:t>Zmniejszenie apetytu (N)</w:t>
            </w:r>
          </w:p>
        </w:tc>
      </w:tr>
      <w:tr w:rsidR="00BE28C4" w:rsidRPr="00BE28C4" w14:paraId="16292158" w14:textId="77777777">
        <w:trPr>
          <w:trHeight w:val="144"/>
        </w:trPr>
        <w:tc>
          <w:tcPr>
            <w:tcW w:w="1948" w:type="pct"/>
            <w:vMerge/>
            <w:shd w:val="clear" w:color="auto" w:fill="auto"/>
            <w:noWrap/>
          </w:tcPr>
          <w:p w14:paraId="33C89208" w14:textId="77777777" w:rsidR="004E3AC5" w:rsidRPr="00BE28C4" w:rsidRDefault="004E3AC5">
            <w:pPr>
              <w:spacing w:line="240" w:lineRule="auto"/>
              <w:rPr>
                <w:bCs/>
              </w:rPr>
            </w:pPr>
          </w:p>
        </w:tc>
        <w:tc>
          <w:tcPr>
            <w:tcW w:w="933" w:type="pct"/>
            <w:shd w:val="clear" w:color="auto" w:fill="auto"/>
          </w:tcPr>
          <w:p w14:paraId="30971DF1" w14:textId="77777777" w:rsidR="004E3AC5" w:rsidRPr="00BE28C4" w:rsidRDefault="00907ADD">
            <w:pPr>
              <w:spacing w:line="240" w:lineRule="auto"/>
              <w:rPr>
                <w:bCs/>
              </w:rPr>
            </w:pPr>
            <w:r w:rsidRPr="00BE28C4">
              <w:rPr>
                <w:lang w:val="pl"/>
              </w:rPr>
              <w:t>Niezbyt często</w:t>
            </w:r>
          </w:p>
        </w:tc>
        <w:tc>
          <w:tcPr>
            <w:tcW w:w="2119" w:type="pct"/>
            <w:shd w:val="clear" w:color="auto" w:fill="auto"/>
          </w:tcPr>
          <w:p w14:paraId="306462A5" w14:textId="77777777" w:rsidR="004E3AC5" w:rsidRPr="00BE28C4" w:rsidRDefault="00907ADD">
            <w:pPr>
              <w:spacing w:line="240" w:lineRule="auto"/>
              <w:rPr>
                <w:bCs/>
              </w:rPr>
            </w:pPr>
            <w:r w:rsidRPr="00BE28C4">
              <w:rPr>
                <w:lang w:val="pl"/>
              </w:rPr>
              <w:t>Anoreksja (B), zaburzenia stężenia glukozy we krwi (B)</w:t>
            </w:r>
          </w:p>
        </w:tc>
      </w:tr>
      <w:tr w:rsidR="00BE28C4" w:rsidRPr="00BE28C4" w14:paraId="5A127FB9" w14:textId="77777777">
        <w:trPr>
          <w:trHeight w:val="144"/>
        </w:trPr>
        <w:tc>
          <w:tcPr>
            <w:tcW w:w="1948" w:type="pct"/>
            <w:vMerge w:val="restart"/>
            <w:shd w:val="clear" w:color="auto" w:fill="auto"/>
            <w:noWrap/>
          </w:tcPr>
          <w:p w14:paraId="42F0F8CC" w14:textId="77777777" w:rsidR="004E3AC5" w:rsidRPr="00BE28C4" w:rsidRDefault="00907ADD">
            <w:pPr>
              <w:spacing w:line="240" w:lineRule="auto"/>
              <w:rPr>
                <w:bCs/>
              </w:rPr>
            </w:pPr>
            <w:r w:rsidRPr="00BE28C4">
              <w:rPr>
                <w:lang w:val="pl"/>
              </w:rPr>
              <w:t>Zaburzenia psychiczne</w:t>
            </w:r>
          </w:p>
        </w:tc>
        <w:tc>
          <w:tcPr>
            <w:tcW w:w="933" w:type="pct"/>
            <w:shd w:val="clear" w:color="auto" w:fill="auto"/>
          </w:tcPr>
          <w:p w14:paraId="31857D0E" w14:textId="77777777" w:rsidR="004E3AC5" w:rsidRPr="00BE28C4" w:rsidRDefault="00907ADD">
            <w:pPr>
              <w:spacing w:line="240" w:lineRule="auto"/>
              <w:rPr>
                <w:bCs/>
              </w:rPr>
            </w:pPr>
            <w:r w:rsidRPr="00BE28C4">
              <w:rPr>
                <w:lang w:val="pl"/>
              </w:rPr>
              <w:t>Często</w:t>
            </w:r>
          </w:p>
        </w:tc>
        <w:tc>
          <w:tcPr>
            <w:tcW w:w="2119" w:type="pct"/>
            <w:shd w:val="clear" w:color="auto" w:fill="auto"/>
          </w:tcPr>
          <w:p w14:paraId="691B5ED8" w14:textId="77777777" w:rsidR="004E3AC5" w:rsidRPr="00BE28C4" w:rsidRDefault="00907ADD">
            <w:pPr>
              <w:spacing w:line="240" w:lineRule="auto"/>
              <w:rPr>
                <w:bCs/>
              </w:rPr>
            </w:pPr>
            <w:r w:rsidRPr="00BE28C4">
              <w:rPr>
                <w:lang w:val="pl"/>
              </w:rPr>
              <w:t>Zaburzenia koncentracji (B)</w:t>
            </w:r>
          </w:p>
        </w:tc>
      </w:tr>
      <w:tr w:rsidR="00BE28C4" w:rsidRPr="00BE28C4" w14:paraId="72DC4CC3" w14:textId="77777777">
        <w:trPr>
          <w:trHeight w:val="144"/>
        </w:trPr>
        <w:tc>
          <w:tcPr>
            <w:tcW w:w="1948" w:type="pct"/>
            <w:vMerge/>
            <w:shd w:val="clear" w:color="auto" w:fill="auto"/>
            <w:noWrap/>
          </w:tcPr>
          <w:p w14:paraId="12BAD4B2" w14:textId="77777777" w:rsidR="004E3AC5" w:rsidRPr="00BE28C4" w:rsidRDefault="004E3AC5">
            <w:pPr>
              <w:spacing w:line="240" w:lineRule="auto"/>
              <w:rPr>
                <w:bCs/>
              </w:rPr>
            </w:pPr>
          </w:p>
        </w:tc>
        <w:tc>
          <w:tcPr>
            <w:tcW w:w="933" w:type="pct"/>
            <w:shd w:val="clear" w:color="auto" w:fill="auto"/>
          </w:tcPr>
          <w:p w14:paraId="247E6724" w14:textId="77777777" w:rsidR="004E3AC5" w:rsidRPr="00BE28C4" w:rsidRDefault="00907ADD">
            <w:pPr>
              <w:spacing w:line="240" w:lineRule="auto"/>
              <w:rPr>
                <w:bCs/>
              </w:rPr>
            </w:pPr>
            <w:r w:rsidRPr="00BE28C4">
              <w:rPr>
                <w:lang w:val="pl"/>
              </w:rPr>
              <w:t>Niezbyt często</w:t>
            </w:r>
          </w:p>
        </w:tc>
        <w:tc>
          <w:tcPr>
            <w:tcW w:w="2119" w:type="pct"/>
            <w:shd w:val="clear" w:color="auto" w:fill="auto"/>
          </w:tcPr>
          <w:p w14:paraId="20478594" w14:textId="77777777" w:rsidR="004E3AC5" w:rsidRPr="00BE28C4" w:rsidRDefault="00907ADD">
            <w:pPr>
              <w:spacing w:line="240" w:lineRule="auto"/>
              <w:rPr>
                <w:bCs/>
              </w:rPr>
            </w:pPr>
            <w:r w:rsidRPr="00BE28C4">
              <w:rPr>
                <w:lang w:val="pl"/>
              </w:rPr>
              <w:t>Urojenia (B), depersonalizacja (B), zaburzenia libido (N), myśli paranoiczne (B)</w:t>
            </w:r>
          </w:p>
        </w:tc>
      </w:tr>
      <w:tr w:rsidR="00BE28C4" w:rsidRPr="00BE28C4" w14:paraId="5F7A15F0" w14:textId="77777777">
        <w:trPr>
          <w:trHeight w:val="144"/>
        </w:trPr>
        <w:tc>
          <w:tcPr>
            <w:tcW w:w="1948" w:type="pct"/>
            <w:shd w:val="clear" w:color="auto" w:fill="auto"/>
            <w:noWrap/>
            <w:hideMark/>
          </w:tcPr>
          <w:p w14:paraId="0879D86B" w14:textId="77777777" w:rsidR="004E3AC5" w:rsidRPr="00BE28C4" w:rsidRDefault="00907ADD">
            <w:pPr>
              <w:spacing w:line="240" w:lineRule="auto"/>
              <w:rPr>
                <w:bCs/>
              </w:rPr>
            </w:pPr>
            <w:r w:rsidRPr="00BE28C4">
              <w:rPr>
                <w:lang w:val="pl"/>
              </w:rPr>
              <w:t>Zaburzenia układu nerwowego</w:t>
            </w:r>
          </w:p>
        </w:tc>
        <w:tc>
          <w:tcPr>
            <w:tcW w:w="933" w:type="pct"/>
            <w:shd w:val="clear" w:color="auto" w:fill="auto"/>
          </w:tcPr>
          <w:p w14:paraId="457032D9" w14:textId="77777777" w:rsidR="004E3AC5" w:rsidRPr="00BE28C4" w:rsidRDefault="00907ADD">
            <w:pPr>
              <w:spacing w:line="240" w:lineRule="auto"/>
              <w:rPr>
                <w:bCs/>
              </w:rPr>
            </w:pPr>
            <w:r w:rsidRPr="00BE28C4">
              <w:rPr>
                <w:lang w:val="pl"/>
              </w:rPr>
              <w:t>Niezbyt często</w:t>
            </w:r>
          </w:p>
        </w:tc>
        <w:tc>
          <w:tcPr>
            <w:tcW w:w="2119" w:type="pct"/>
            <w:shd w:val="clear" w:color="auto" w:fill="auto"/>
          </w:tcPr>
          <w:p w14:paraId="7C5B8E96" w14:textId="77777777" w:rsidR="004E3AC5" w:rsidRPr="00BE28C4" w:rsidRDefault="00907ADD">
            <w:pPr>
              <w:spacing w:line="240" w:lineRule="auto"/>
              <w:rPr>
                <w:bCs/>
              </w:rPr>
            </w:pPr>
            <w:r w:rsidRPr="00BE28C4">
              <w:rPr>
                <w:lang w:val="pl"/>
              </w:rPr>
              <w:t xml:space="preserve">Ataksja (B), zaburzenia koordynacji (B), </w:t>
            </w:r>
          </w:p>
        </w:tc>
      </w:tr>
      <w:tr w:rsidR="00BE28C4" w:rsidRPr="00BE28C4" w14:paraId="223AC20E" w14:textId="77777777">
        <w:trPr>
          <w:trHeight w:val="144"/>
        </w:trPr>
        <w:tc>
          <w:tcPr>
            <w:tcW w:w="1948" w:type="pct"/>
            <w:shd w:val="clear" w:color="auto" w:fill="auto"/>
            <w:noWrap/>
          </w:tcPr>
          <w:p w14:paraId="69A8855B" w14:textId="77777777" w:rsidR="004E3AC5" w:rsidRPr="00BE28C4" w:rsidRDefault="00907ADD">
            <w:pPr>
              <w:spacing w:line="240" w:lineRule="auto"/>
              <w:rPr>
                <w:bCs/>
              </w:rPr>
            </w:pPr>
            <w:r w:rsidRPr="00BE28C4">
              <w:rPr>
                <w:lang w:val="pl"/>
              </w:rPr>
              <w:t>Zaburzenia oka</w:t>
            </w:r>
          </w:p>
        </w:tc>
        <w:tc>
          <w:tcPr>
            <w:tcW w:w="933" w:type="pct"/>
            <w:shd w:val="clear" w:color="auto" w:fill="auto"/>
          </w:tcPr>
          <w:p w14:paraId="0110E6DA" w14:textId="77777777" w:rsidR="004E3AC5" w:rsidRPr="00BE28C4" w:rsidRDefault="00907ADD">
            <w:pPr>
              <w:spacing w:line="240" w:lineRule="auto"/>
              <w:rPr>
                <w:bCs/>
              </w:rPr>
            </w:pPr>
            <w:r w:rsidRPr="00BE28C4">
              <w:rPr>
                <w:lang w:val="pl"/>
              </w:rPr>
              <w:t>Niezbyt często</w:t>
            </w:r>
          </w:p>
        </w:tc>
        <w:tc>
          <w:tcPr>
            <w:tcW w:w="2119" w:type="pct"/>
            <w:shd w:val="clear" w:color="auto" w:fill="auto"/>
          </w:tcPr>
          <w:p w14:paraId="0074F72A" w14:textId="77777777" w:rsidR="004E3AC5" w:rsidRPr="00BE28C4" w:rsidRDefault="00907ADD">
            <w:pPr>
              <w:spacing w:line="240" w:lineRule="auto"/>
              <w:rPr>
                <w:bCs/>
              </w:rPr>
            </w:pPr>
            <w:r w:rsidRPr="00BE28C4">
              <w:rPr>
                <w:lang w:val="pl"/>
              </w:rPr>
              <w:t>Zaburzenia widzenia (B)</w:t>
            </w:r>
          </w:p>
        </w:tc>
      </w:tr>
      <w:tr w:rsidR="00BE28C4" w:rsidRPr="00BE28C4" w14:paraId="441081C4" w14:textId="77777777">
        <w:trPr>
          <w:trHeight w:val="144"/>
        </w:trPr>
        <w:tc>
          <w:tcPr>
            <w:tcW w:w="1948" w:type="pct"/>
            <w:shd w:val="clear" w:color="auto" w:fill="auto"/>
            <w:noWrap/>
          </w:tcPr>
          <w:p w14:paraId="4333501D" w14:textId="77777777" w:rsidR="004E3AC5" w:rsidRPr="00BE28C4" w:rsidRDefault="00907ADD">
            <w:pPr>
              <w:spacing w:line="240" w:lineRule="auto"/>
              <w:rPr>
                <w:bCs/>
              </w:rPr>
            </w:pPr>
            <w:r w:rsidRPr="00BE28C4">
              <w:rPr>
                <w:lang w:val="pl"/>
              </w:rPr>
              <w:t>Zaburzenia serca</w:t>
            </w:r>
          </w:p>
        </w:tc>
        <w:tc>
          <w:tcPr>
            <w:tcW w:w="933" w:type="pct"/>
            <w:shd w:val="clear" w:color="auto" w:fill="auto"/>
          </w:tcPr>
          <w:p w14:paraId="22953C7F" w14:textId="77777777" w:rsidR="004E3AC5" w:rsidRPr="00BE28C4" w:rsidRDefault="00907ADD">
            <w:pPr>
              <w:spacing w:line="240" w:lineRule="auto"/>
              <w:rPr>
                <w:bCs/>
              </w:rPr>
            </w:pPr>
            <w:r w:rsidRPr="00BE28C4">
              <w:rPr>
                <w:lang w:val="pl"/>
              </w:rPr>
              <w:t>Często</w:t>
            </w:r>
          </w:p>
        </w:tc>
        <w:tc>
          <w:tcPr>
            <w:tcW w:w="2119" w:type="pct"/>
            <w:shd w:val="clear" w:color="auto" w:fill="auto"/>
          </w:tcPr>
          <w:p w14:paraId="523E88BC" w14:textId="77777777" w:rsidR="004E3AC5" w:rsidRPr="00BE28C4" w:rsidRDefault="00907ADD">
            <w:pPr>
              <w:spacing w:line="240" w:lineRule="auto"/>
              <w:rPr>
                <w:bCs/>
              </w:rPr>
            </w:pPr>
            <w:r w:rsidRPr="00BE28C4">
              <w:rPr>
                <w:lang w:val="pl"/>
              </w:rPr>
              <w:t>Zmiany w zapisie EKG (N)</w:t>
            </w:r>
          </w:p>
        </w:tc>
      </w:tr>
      <w:tr w:rsidR="00BE28C4" w:rsidRPr="00BE28C4" w14:paraId="348AB8F3" w14:textId="77777777">
        <w:trPr>
          <w:trHeight w:val="144"/>
        </w:trPr>
        <w:tc>
          <w:tcPr>
            <w:tcW w:w="1948" w:type="pct"/>
            <w:shd w:val="clear" w:color="auto" w:fill="auto"/>
            <w:noWrap/>
          </w:tcPr>
          <w:p w14:paraId="484F2481" w14:textId="77777777" w:rsidR="004E3AC5" w:rsidRPr="00BE28C4" w:rsidRDefault="00907ADD">
            <w:pPr>
              <w:spacing w:line="240" w:lineRule="auto"/>
              <w:rPr>
                <w:bCs/>
              </w:rPr>
            </w:pPr>
            <w:r w:rsidRPr="00BE28C4">
              <w:rPr>
                <w:lang w:val="pl"/>
              </w:rPr>
              <w:t>Zaburzenia naczyniowe</w:t>
            </w:r>
          </w:p>
        </w:tc>
        <w:tc>
          <w:tcPr>
            <w:tcW w:w="933" w:type="pct"/>
            <w:shd w:val="clear" w:color="auto" w:fill="auto"/>
          </w:tcPr>
          <w:p w14:paraId="1F383CB6" w14:textId="77777777" w:rsidR="004E3AC5" w:rsidRPr="00BE28C4" w:rsidRDefault="00907ADD">
            <w:pPr>
              <w:spacing w:line="240" w:lineRule="auto"/>
              <w:rPr>
                <w:bCs/>
              </w:rPr>
            </w:pPr>
            <w:r w:rsidRPr="00BE28C4">
              <w:rPr>
                <w:lang w:val="pl"/>
              </w:rPr>
              <w:t>Niezbyt często</w:t>
            </w:r>
          </w:p>
        </w:tc>
        <w:tc>
          <w:tcPr>
            <w:tcW w:w="2119" w:type="pct"/>
            <w:shd w:val="clear" w:color="auto" w:fill="auto"/>
          </w:tcPr>
          <w:p w14:paraId="4B7DCF68" w14:textId="77777777" w:rsidR="004E3AC5" w:rsidRPr="00BE28C4" w:rsidRDefault="00907ADD">
            <w:pPr>
              <w:spacing w:line="240" w:lineRule="auto"/>
              <w:rPr>
                <w:bCs/>
              </w:rPr>
            </w:pPr>
            <w:r w:rsidRPr="00BE28C4">
              <w:rPr>
                <w:lang w:val="pl"/>
              </w:rPr>
              <w:t>Niedociśnienie ortostatyczne (B), rozszerzenie naczyń krwionośnych (B)</w:t>
            </w:r>
          </w:p>
        </w:tc>
      </w:tr>
      <w:tr w:rsidR="00BE28C4" w:rsidRPr="00BE28C4" w14:paraId="0F8BBF78" w14:textId="77777777">
        <w:trPr>
          <w:trHeight w:val="144"/>
        </w:trPr>
        <w:tc>
          <w:tcPr>
            <w:tcW w:w="1948" w:type="pct"/>
            <w:shd w:val="clear" w:color="auto" w:fill="auto"/>
            <w:noWrap/>
          </w:tcPr>
          <w:p w14:paraId="48E618E5" w14:textId="77777777" w:rsidR="004E3AC5" w:rsidRPr="00BE28C4" w:rsidRDefault="00907ADD">
            <w:pPr>
              <w:spacing w:line="240" w:lineRule="auto"/>
              <w:rPr>
                <w:bCs/>
              </w:rPr>
            </w:pPr>
            <w:r w:rsidRPr="00BE28C4">
              <w:rPr>
                <w:lang w:val="pl"/>
              </w:rPr>
              <w:t>Zaburzenia układu oddechowego, klatki piersiowej i śródpiersia</w:t>
            </w:r>
          </w:p>
        </w:tc>
        <w:tc>
          <w:tcPr>
            <w:tcW w:w="933" w:type="pct"/>
            <w:shd w:val="clear" w:color="auto" w:fill="auto"/>
          </w:tcPr>
          <w:p w14:paraId="3E55E222" w14:textId="77777777" w:rsidR="004E3AC5" w:rsidRPr="00BE28C4" w:rsidRDefault="00907ADD">
            <w:pPr>
              <w:spacing w:line="240" w:lineRule="auto"/>
              <w:rPr>
                <w:bCs/>
              </w:rPr>
            </w:pPr>
            <w:r w:rsidRPr="00BE28C4">
              <w:rPr>
                <w:lang w:val="pl"/>
              </w:rPr>
              <w:t>Niezbyt często</w:t>
            </w:r>
          </w:p>
        </w:tc>
        <w:tc>
          <w:tcPr>
            <w:tcW w:w="2119" w:type="pct"/>
            <w:shd w:val="clear" w:color="auto" w:fill="auto"/>
          </w:tcPr>
          <w:p w14:paraId="7FD0FD20" w14:textId="77777777" w:rsidR="004E3AC5" w:rsidRPr="00BE28C4" w:rsidRDefault="00907ADD">
            <w:pPr>
              <w:spacing w:line="240" w:lineRule="auto"/>
              <w:rPr>
                <w:bCs/>
              </w:rPr>
            </w:pPr>
            <w:r w:rsidRPr="00BE28C4">
              <w:rPr>
                <w:lang w:val="pl"/>
              </w:rPr>
              <w:t>Zwiększone wytwarzanie plwociny (N)</w:t>
            </w:r>
          </w:p>
        </w:tc>
      </w:tr>
      <w:tr w:rsidR="00BE28C4" w:rsidRPr="00BE28C4" w14:paraId="1C280261" w14:textId="77777777">
        <w:trPr>
          <w:trHeight w:val="144"/>
        </w:trPr>
        <w:tc>
          <w:tcPr>
            <w:tcW w:w="1948" w:type="pct"/>
            <w:shd w:val="clear" w:color="auto" w:fill="auto"/>
            <w:noWrap/>
          </w:tcPr>
          <w:p w14:paraId="7F3D2865" w14:textId="77777777" w:rsidR="004E3AC5" w:rsidRPr="00BE28C4" w:rsidRDefault="00907ADD">
            <w:pPr>
              <w:spacing w:line="240" w:lineRule="auto"/>
              <w:rPr>
                <w:bCs/>
              </w:rPr>
            </w:pPr>
            <w:r w:rsidRPr="00BE28C4">
              <w:rPr>
                <w:lang w:val="pl"/>
              </w:rPr>
              <w:t>Zaburzenia żołądka i jelit</w:t>
            </w:r>
          </w:p>
        </w:tc>
        <w:tc>
          <w:tcPr>
            <w:tcW w:w="933" w:type="pct"/>
            <w:shd w:val="clear" w:color="auto" w:fill="auto"/>
          </w:tcPr>
          <w:p w14:paraId="6843A7AB" w14:textId="77777777" w:rsidR="004E3AC5" w:rsidRPr="00BE28C4" w:rsidRDefault="00907ADD">
            <w:pPr>
              <w:spacing w:line="240" w:lineRule="auto"/>
              <w:rPr>
                <w:bCs/>
              </w:rPr>
            </w:pPr>
            <w:r w:rsidRPr="00BE28C4">
              <w:rPr>
                <w:lang w:val="pl"/>
              </w:rPr>
              <w:t>Często</w:t>
            </w:r>
          </w:p>
        </w:tc>
        <w:tc>
          <w:tcPr>
            <w:tcW w:w="2119" w:type="pct"/>
            <w:shd w:val="clear" w:color="auto" w:fill="auto"/>
          </w:tcPr>
          <w:p w14:paraId="06844A6E" w14:textId="77777777" w:rsidR="004E3AC5" w:rsidRPr="00BE28C4" w:rsidRDefault="00907ADD">
            <w:pPr>
              <w:spacing w:line="240" w:lineRule="auto"/>
              <w:rPr>
                <w:bCs/>
              </w:rPr>
            </w:pPr>
            <w:r w:rsidRPr="00BE28C4">
              <w:rPr>
                <w:lang w:val="pl"/>
              </w:rPr>
              <w:t>Zaburzenia smaku (B)</w:t>
            </w:r>
          </w:p>
        </w:tc>
      </w:tr>
      <w:tr w:rsidR="00BE28C4" w:rsidRPr="00BE28C4" w14:paraId="6DC581F7" w14:textId="77777777">
        <w:trPr>
          <w:trHeight w:val="144"/>
        </w:trPr>
        <w:tc>
          <w:tcPr>
            <w:tcW w:w="1948" w:type="pct"/>
            <w:shd w:val="clear" w:color="auto" w:fill="auto"/>
            <w:noWrap/>
          </w:tcPr>
          <w:p w14:paraId="45F0015B" w14:textId="77777777" w:rsidR="004E3AC5" w:rsidRPr="00BE28C4" w:rsidRDefault="00907ADD">
            <w:pPr>
              <w:spacing w:line="240" w:lineRule="auto"/>
              <w:rPr>
                <w:bCs/>
              </w:rPr>
            </w:pPr>
            <w:r w:rsidRPr="00BE28C4">
              <w:rPr>
                <w:lang w:val="pl"/>
              </w:rPr>
              <w:t>Zaburzenia wątroby i dróg żółciowych</w:t>
            </w:r>
          </w:p>
        </w:tc>
        <w:tc>
          <w:tcPr>
            <w:tcW w:w="933" w:type="pct"/>
            <w:shd w:val="clear" w:color="auto" w:fill="auto"/>
          </w:tcPr>
          <w:p w14:paraId="2370C9CA" w14:textId="77777777" w:rsidR="004E3AC5" w:rsidRPr="00BE28C4" w:rsidRDefault="00907ADD">
            <w:pPr>
              <w:spacing w:line="240" w:lineRule="auto"/>
              <w:rPr>
                <w:bCs/>
              </w:rPr>
            </w:pPr>
            <w:r w:rsidRPr="00BE28C4">
              <w:rPr>
                <w:lang w:val="pl"/>
              </w:rPr>
              <w:t>Niezbyt często</w:t>
            </w:r>
          </w:p>
        </w:tc>
        <w:tc>
          <w:tcPr>
            <w:tcW w:w="2119" w:type="pct"/>
            <w:shd w:val="clear" w:color="auto" w:fill="auto"/>
          </w:tcPr>
          <w:p w14:paraId="38FA1A08" w14:textId="77777777" w:rsidR="004E3AC5" w:rsidRPr="00BE28C4" w:rsidRDefault="00907ADD">
            <w:pPr>
              <w:spacing w:line="240" w:lineRule="auto"/>
              <w:rPr>
                <w:bCs/>
              </w:rPr>
            </w:pPr>
            <w:r w:rsidRPr="00BE28C4">
              <w:rPr>
                <w:lang w:val="pl"/>
              </w:rPr>
              <w:t>Zwiększone stężenie bilirubiny w krwi (N), Żółtaczka (B)</w:t>
            </w:r>
          </w:p>
        </w:tc>
      </w:tr>
      <w:tr w:rsidR="00BE28C4" w:rsidRPr="00BE28C4" w14:paraId="5F3A3863" w14:textId="77777777">
        <w:trPr>
          <w:trHeight w:val="144"/>
        </w:trPr>
        <w:tc>
          <w:tcPr>
            <w:tcW w:w="1948" w:type="pct"/>
            <w:shd w:val="clear" w:color="auto" w:fill="auto"/>
            <w:noWrap/>
          </w:tcPr>
          <w:p w14:paraId="4D17D17F" w14:textId="77777777" w:rsidR="004E3AC5" w:rsidRPr="00BE28C4" w:rsidRDefault="00907ADD">
            <w:pPr>
              <w:spacing w:line="240" w:lineRule="auto"/>
              <w:rPr>
                <w:bCs/>
              </w:rPr>
            </w:pPr>
            <w:r w:rsidRPr="00BE28C4">
              <w:rPr>
                <w:lang w:val="pl"/>
              </w:rPr>
              <w:t>Zaburzenia skóry i tkanki podskórnej</w:t>
            </w:r>
          </w:p>
        </w:tc>
        <w:tc>
          <w:tcPr>
            <w:tcW w:w="933" w:type="pct"/>
            <w:shd w:val="clear" w:color="auto" w:fill="auto"/>
          </w:tcPr>
          <w:p w14:paraId="25CCDD37" w14:textId="77777777" w:rsidR="004E3AC5" w:rsidRPr="00BE28C4" w:rsidRDefault="00907ADD">
            <w:pPr>
              <w:spacing w:line="240" w:lineRule="auto"/>
              <w:rPr>
                <w:bCs/>
              </w:rPr>
            </w:pPr>
            <w:r w:rsidRPr="00BE28C4">
              <w:rPr>
                <w:lang w:val="pl"/>
              </w:rPr>
              <w:t>Niezbyt często</w:t>
            </w:r>
          </w:p>
        </w:tc>
        <w:tc>
          <w:tcPr>
            <w:tcW w:w="2119" w:type="pct"/>
            <w:shd w:val="clear" w:color="auto" w:fill="auto"/>
          </w:tcPr>
          <w:p w14:paraId="3F4F45EC" w14:textId="77777777" w:rsidR="004E3AC5" w:rsidRPr="00BE28C4" w:rsidRDefault="00907ADD">
            <w:pPr>
              <w:spacing w:line="240" w:lineRule="auto"/>
              <w:rPr>
                <w:bCs/>
              </w:rPr>
            </w:pPr>
            <w:r w:rsidRPr="00BE28C4">
              <w:rPr>
                <w:lang w:val="pl"/>
              </w:rPr>
              <w:t>Zaostrzenie łuszczycy (B), łojotok (N)</w:t>
            </w:r>
          </w:p>
        </w:tc>
      </w:tr>
      <w:tr w:rsidR="00BE28C4" w:rsidRPr="00BE28C4" w14:paraId="5E46FC01" w14:textId="77777777">
        <w:trPr>
          <w:trHeight w:val="530"/>
        </w:trPr>
        <w:tc>
          <w:tcPr>
            <w:tcW w:w="1948" w:type="pct"/>
            <w:shd w:val="clear" w:color="auto" w:fill="auto"/>
            <w:noWrap/>
          </w:tcPr>
          <w:p w14:paraId="57921D02" w14:textId="77777777" w:rsidR="004E3AC5" w:rsidRPr="00BE28C4" w:rsidRDefault="00907ADD">
            <w:pPr>
              <w:spacing w:line="240" w:lineRule="auto"/>
              <w:rPr>
                <w:bCs/>
              </w:rPr>
            </w:pPr>
            <w:r w:rsidRPr="00BE28C4">
              <w:rPr>
                <w:lang w:val="pl"/>
              </w:rPr>
              <w:t>Zaburzenia mięśniowo-szkieletowe i tkanki łącznej</w:t>
            </w:r>
          </w:p>
        </w:tc>
        <w:tc>
          <w:tcPr>
            <w:tcW w:w="933" w:type="pct"/>
            <w:shd w:val="clear" w:color="auto" w:fill="auto"/>
          </w:tcPr>
          <w:p w14:paraId="1B6FB6E9" w14:textId="77777777" w:rsidR="004E3AC5" w:rsidRPr="00BE28C4" w:rsidRDefault="00907ADD">
            <w:pPr>
              <w:spacing w:line="240" w:lineRule="auto"/>
              <w:rPr>
                <w:bCs/>
              </w:rPr>
            </w:pPr>
            <w:r w:rsidRPr="00BE28C4">
              <w:rPr>
                <w:lang w:val="pl"/>
              </w:rPr>
              <w:t>Niezbyt często</w:t>
            </w:r>
          </w:p>
        </w:tc>
        <w:tc>
          <w:tcPr>
            <w:tcW w:w="2119" w:type="pct"/>
            <w:shd w:val="clear" w:color="auto" w:fill="auto"/>
          </w:tcPr>
          <w:p w14:paraId="27C8D2AD" w14:textId="77777777" w:rsidR="004E3AC5" w:rsidRPr="00BE28C4" w:rsidRDefault="00907ADD">
            <w:pPr>
              <w:spacing w:line="240" w:lineRule="auto"/>
              <w:rPr>
                <w:bCs/>
              </w:rPr>
            </w:pPr>
            <w:r w:rsidRPr="00BE28C4">
              <w:rPr>
                <w:lang w:val="pl"/>
              </w:rPr>
              <w:t>Skurcze mięśni (B)</w:t>
            </w:r>
          </w:p>
        </w:tc>
      </w:tr>
      <w:tr w:rsidR="00BE28C4" w:rsidRPr="00BE28C4" w14:paraId="78A78C8A" w14:textId="77777777">
        <w:trPr>
          <w:trHeight w:val="144"/>
        </w:trPr>
        <w:tc>
          <w:tcPr>
            <w:tcW w:w="1948" w:type="pct"/>
            <w:shd w:val="clear" w:color="auto" w:fill="auto"/>
            <w:noWrap/>
          </w:tcPr>
          <w:p w14:paraId="643EA54D" w14:textId="77777777" w:rsidR="004E3AC5" w:rsidRPr="00BE28C4" w:rsidRDefault="00907ADD">
            <w:pPr>
              <w:spacing w:line="240" w:lineRule="auto"/>
              <w:rPr>
                <w:bCs/>
              </w:rPr>
            </w:pPr>
            <w:r w:rsidRPr="00BE28C4">
              <w:rPr>
                <w:lang w:val="pl"/>
              </w:rPr>
              <w:t>Zaburzenia układu rozrodczego i piersi</w:t>
            </w:r>
          </w:p>
        </w:tc>
        <w:tc>
          <w:tcPr>
            <w:tcW w:w="933" w:type="pct"/>
            <w:shd w:val="clear" w:color="auto" w:fill="auto"/>
          </w:tcPr>
          <w:p w14:paraId="52586D3D" w14:textId="77777777" w:rsidR="004E3AC5" w:rsidRPr="00BE28C4" w:rsidRDefault="00907ADD">
            <w:pPr>
              <w:spacing w:line="240" w:lineRule="auto"/>
              <w:rPr>
                <w:bCs/>
              </w:rPr>
            </w:pPr>
            <w:r w:rsidRPr="00BE28C4">
              <w:rPr>
                <w:lang w:val="pl"/>
              </w:rPr>
              <w:t>Często</w:t>
            </w:r>
          </w:p>
        </w:tc>
        <w:tc>
          <w:tcPr>
            <w:tcW w:w="2119" w:type="pct"/>
            <w:shd w:val="clear" w:color="auto" w:fill="auto"/>
          </w:tcPr>
          <w:p w14:paraId="25639713" w14:textId="77777777" w:rsidR="004E3AC5" w:rsidRPr="00BE28C4" w:rsidRDefault="00907ADD">
            <w:pPr>
              <w:spacing w:line="240" w:lineRule="auto"/>
              <w:rPr>
                <w:bCs/>
              </w:rPr>
            </w:pPr>
            <w:r w:rsidRPr="00BE28C4">
              <w:rPr>
                <w:lang w:val="pl"/>
              </w:rPr>
              <w:t>Opóźniony wytrysk (N)</w:t>
            </w:r>
          </w:p>
        </w:tc>
      </w:tr>
      <w:tr w:rsidR="004E3AC5" w:rsidRPr="00BE28C4" w14:paraId="6465D6B1" w14:textId="77777777">
        <w:trPr>
          <w:trHeight w:val="144"/>
        </w:trPr>
        <w:tc>
          <w:tcPr>
            <w:tcW w:w="1948" w:type="pct"/>
            <w:shd w:val="clear" w:color="auto" w:fill="auto"/>
            <w:noWrap/>
            <w:hideMark/>
          </w:tcPr>
          <w:p w14:paraId="4EC785C4" w14:textId="77777777" w:rsidR="004E3AC5" w:rsidRPr="00BE28C4" w:rsidRDefault="00907ADD">
            <w:pPr>
              <w:spacing w:line="240" w:lineRule="auto"/>
              <w:rPr>
                <w:bCs/>
              </w:rPr>
            </w:pPr>
            <w:r w:rsidRPr="00BE28C4">
              <w:rPr>
                <w:lang w:val="pl"/>
              </w:rPr>
              <w:t>Zaburzenia ogólne i stany w miejscu podania</w:t>
            </w:r>
          </w:p>
        </w:tc>
        <w:tc>
          <w:tcPr>
            <w:tcW w:w="933" w:type="pct"/>
            <w:shd w:val="clear" w:color="auto" w:fill="auto"/>
          </w:tcPr>
          <w:p w14:paraId="57637EF4" w14:textId="77777777" w:rsidR="004E3AC5" w:rsidRPr="00BE28C4" w:rsidRDefault="00907ADD">
            <w:pPr>
              <w:spacing w:line="240" w:lineRule="auto"/>
              <w:rPr>
                <w:bCs/>
              </w:rPr>
            </w:pPr>
            <w:r w:rsidRPr="00BE28C4">
              <w:rPr>
                <w:lang w:val="pl"/>
              </w:rPr>
              <w:t>Niezbyt często</w:t>
            </w:r>
          </w:p>
        </w:tc>
        <w:tc>
          <w:tcPr>
            <w:tcW w:w="2119" w:type="pct"/>
            <w:shd w:val="clear" w:color="auto" w:fill="auto"/>
          </w:tcPr>
          <w:p w14:paraId="1F0A2CCF" w14:textId="77777777" w:rsidR="004E3AC5" w:rsidRPr="00BE28C4" w:rsidRDefault="00907ADD">
            <w:pPr>
              <w:spacing w:line="240" w:lineRule="auto"/>
              <w:rPr>
                <w:bCs/>
              </w:rPr>
            </w:pPr>
            <w:r w:rsidRPr="00BE28C4">
              <w:rPr>
                <w:lang w:val="pl"/>
              </w:rPr>
              <w:t>Przyrost masy ciała (N)</w:t>
            </w:r>
          </w:p>
        </w:tc>
      </w:tr>
    </w:tbl>
    <w:p w14:paraId="31EA27CF" w14:textId="6A626FDA" w:rsidR="00AE5731" w:rsidRDefault="00AE5731">
      <w:pPr>
        <w:spacing w:line="240" w:lineRule="auto"/>
        <w:ind w:left="567" w:hanging="567"/>
      </w:pPr>
      <w:r>
        <w:br w:type="page"/>
      </w:r>
    </w:p>
    <w:p w14:paraId="5D69DD47" w14:textId="77777777" w:rsidR="004E3AC5" w:rsidRPr="00BE28C4" w:rsidRDefault="004E3AC5">
      <w:pPr>
        <w:spacing w:line="240" w:lineRule="auto"/>
        <w:ind w:left="567" w:hanging="567"/>
      </w:pPr>
    </w:p>
    <w:p w14:paraId="7F05EC10" w14:textId="77777777" w:rsidR="004E3AC5" w:rsidRPr="00BE28C4" w:rsidRDefault="00907ADD">
      <w:pPr>
        <w:shd w:val="clear" w:color="auto" w:fill="FFFFFF"/>
        <w:spacing w:line="240" w:lineRule="auto"/>
        <w:rPr>
          <w:i/>
          <w:szCs w:val="22"/>
        </w:rPr>
      </w:pPr>
      <w:r w:rsidRPr="00BE28C4">
        <w:rPr>
          <w:i/>
          <w:szCs w:val="22"/>
        </w:rPr>
        <w:t>Opis wybranych działań niepożądanych</w:t>
      </w:r>
    </w:p>
    <w:p w14:paraId="213E270A" w14:textId="77777777" w:rsidR="004E3AC5" w:rsidRPr="00BE28C4" w:rsidRDefault="004E3AC5">
      <w:pPr>
        <w:shd w:val="clear" w:color="auto" w:fill="FFFFFF"/>
        <w:spacing w:line="240" w:lineRule="auto"/>
        <w:rPr>
          <w:szCs w:val="22"/>
        </w:rPr>
      </w:pPr>
    </w:p>
    <w:p w14:paraId="686C5C9C" w14:textId="77777777" w:rsidR="004E3AC5" w:rsidRPr="00BE28C4" w:rsidRDefault="00907ADD">
      <w:pPr>
        <w:shd w:val="clear" w:color="auto" w:fill="FFFFFF"/>
        <w:spacing w:line="240" w:lineRule="auto"/>
        <w:rPr>
          <w:szCs w:val="22"/>
        </w:rPr>
      </w:pPr>
      <w:r w:rsidRPr="00BE28C4">
        <w:rPr>
          <w:i/>
          <w:szCs w:val="22"/>
        </w:rPr>
        <w:t>Napady drgawkowe.</w:t>
      </w:r>
      <w:r w:rsidRPr="00BE28C4">
        <w:rPr>
          <w:szCs w:val="22"/>
        </w:rPr>
        <w:t xml:space="preserve"> Częstość występowania napadów drgawkowych u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 całym programie badań klinicznych wyniosła 0,06% (2/3239 pacjentów). W grupie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miały miejsce dwa przypadki napadów drgawkowych i oba zostały uznane za ciężkie zdarzenia niepożądane, co doprowadziło do przerwania przyjmowania badanego produktu leczniczego przez tych pacjentów. W grupie placebo nie stwierdzono ani jednego przypadku napadów drgawkowych.</w:t>
      </w:r>
    </w:p>
    <w:p w14:paraId="2029AC6F" w14:textId="77777777" w:rsidR="004E3AC5" w:rsidRPr="00BE28C4" w:rsidRDefault="004E3AC5">
      <w:pPr>
        <w:shd w:val="clear" w:color="auto" w:fill="FFFFFF"/>
        <w:spacing w:line="240" w:lineRule="auto"/>
        <w:rPr>
          <w:szCs w:val="22"/>
        </w:rPr>
      </w:pPr>
    </w:p>
    <w:p w14:paraId="79C8D70B" w14:textId="77777777" w:rsidR="004E3AC5" w:rsidRPr="00BE28C4" w:rsidRDefault="00907ADD">
      <w:pPr>
        <w:shd w:val="clear" w:color="auto" w:fill="FFFFFF"/>
        <w:spacing w:line="240" w:lineRule="auto"/>
        <w:rPr>
          <w:szCs w:val="22"/>
        </w:rPr>
      </w:pPr>
      <w:r w:rsidRPr="00BE28C4">
        <w:rPr>
          <w:i/>
          <w:szCs w:val="22"/>
        </w:rPr>
        <w:t>Działania niepożądane w obrębie układu pokarmowego.</w:t>
      </w:r>
      <w:r w:rsidRPr="00BE28C4">
        <w:rPr>
          <w:szCs w:val="22"/>
        </w:rPr>
        <w:t xml:space="preserve"> U przeważającej większości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u których wystąpiły nudności, wystąpiły one </w:t>
      </w:r>
      <w:r w:rsidRPr="00BE28C4">
        <w:rPr>
          <w:szCs w:val="22"/>
        </w:rPr>
        <w:br/>
        <w:t xml:space="preserve">w ciągu pierwszych 4 tygodni leczenia. Zdarzenia te miały generalnie charakter samoograniczający, większość z nich ustąpiła w ciągu 4 tygodni, a prawie wszystkie – do 24-go tygodnia badania. Podobnie, większość przypadków zaparcia u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wystąpiła w fazie stopniowego zwiększania dawki badanego produktu leczniczego. Czas do ustąpienia zaparcia u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i u pacjentów otrzymujących placebo był podobny. U około połowy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u których wystąpiły wymioty, pierwszy epizod wymiotów zgłaszany był podczas fazy stopniowego zwiększania dawki badanego produktu leczniczego. Czas do ustąpienia wymiotów był zazwyczaj krótki (nieprzekraczający tygodnia), a prawie wszystkie zdarzenia ustąpiły w ciągu 4 tygodni. Częstość występowania tych częstych działań niepożądanych w obrębie układu pokarmowego u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 porównaniu do ich częstości u pacjentów otrzymujących placebo była następująca: nudności — odpowiednio 31,8% i 6,7%, zaparcia — odpowiednio 18,1% i 7,2%, wymioty — odpowiednio 9,9% i 2,9%. Częstość występowania nasilonych nudności, nasilonych zaparć i nasilonych wymiotów była niska, choć większa u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niż u pacjentów otrzymujących placebo (nasilone nudności — odpowiednio 1,9% i &lt;0,1%; nasilone zaparcia — odpowiednio 0,6% i 0,1%; nasilone wymioty — odpowiednio 0,7% i 0,3%). Żadnego przypadku nudności, zaparć lub wymiotów nie uznano za ciężkie zdarzenie niepożądane.</w:t>
      </w:r>
    </w:p>
    <w:p w14:paraId="28EEAE18" w14:textId="77777777" w:rsidR="004E3AC5" w:rsidRPr="00BE28C4" w:rsidRDefault="004E3AC5">
      <w:pPr>
        <w:shd w:val="clear" w:color="auto" w:fill="FFFFFF"/>
        <w:spacing w:line="240" w:lineRule="auto"/>
        <w:rPr>
          <w:szCs w:val="22"/>
        </w:rPr>
      </w:pPr>
    </w:p>
    <w:p w14:paraId="6799942D" w14:textId="77777777" w:rsidR="004E3AC5" w:rsidRPr="00BE28C4" w:rsidRDefault="00907ADD">
      <w:pPr>
        <w:shd w:val="clear" w:color="auto" w:fill="FFFFFF"/>
        <w:spacing w:line="240" w:lineRule="auto"/>
        <w:rPr>
          <w:szCs w:val="22"/>
        </w:rPr>
      </w:pPr>
      <w:r w:rsidRPr="00BE28C4">
        <w:rPr>
          <w:i/>
          <w:szCs w:val="22"/>
        </w:rPr>
        <w:t>Inne częste działania niepożądane.</w:t>
      </w:r>
      <w:r w:rsidRPr="00BE28C4">
        <w:rPr>
          <w:szCs w:val="22"/>
        </w:rPr>
        <w:t xml:space="preserve"> Większość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u których wystąpiły zawroty głowy, ból głowy, bezsenność lub suchość w jamie ustnej, zgłaszała te objawy po raz pierwszy w fazie stopniowego zwiększania dawki badanego produktu leczniczego. Suchość w jamie ustnej może być związana z bólem zębów i próchnicą. W subpopulacji pacjentów zgłaszających suchość w jamie ustnej, ból zębów i próchnicę stwierdzano z większą częstością w grupie otrzymującej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niż w grupie otrzymującej placebo. Częstość występowania nasilonego bólu głowy, nasilonych zawrotów głowy i nasilonej bezsenności była mała, choć większa u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niż u pacjentów otrzymujących placebo (nasilony ból głowy — odpowiednio 1,1% i 0,3%; nasilone zawroty głowy — odpowiednio 0,6% i 0,2%; nasilona bezsenność — odpowiednio 0,4% i &lt;0,1%). </w:t>
      </w:r>
      <w:r w:rsidRPr="00BE28C4">
        <w:rPr>
          <w:szCs w:val="22"/>
        </w:rPr>
        <w:br/>
        <w:t>Żadnego przypadku zawrotów głowy, suchości w jamie ustnej, bólu głowy lub bezsenności nie uznano za ciężkie zdarzenie niepożądane.</w:t>
      </w:r>
    </w:p>
    <w:p w14:paraId="09D66ACD" w14:textId="77777777" w:rsidR="004E3AC5" w:rsidRPr="00BE28C4" w:rsidRDefault="004E3AC5">
      <w:pPr>
        <w:shd w:val="clear" w:color="auto" w:fill="FFFFFF"/>
        <w:spacing w:line="240" w:lineRule="auto"/>
        <w:rPr>
          <w:szCs w:val="22"/>
        </w:rPr>
      </w:pPr>
    </w:p>
    <w:p w14:paraId="01CBF5E5" w14:textId="77777777" w:rsidR="004E3AC5" w:rsidRPr="00BE28C4" w:rsidRDefault="00907ADD">
      <w:pPr>
        <w:shd w:val="clear" w:color="auto" w:fill="FFFFFF"/>
        <w:spacing w:line="240" w:lineRule="auto"/>
        <w:rPr>
          <w:i/>
          <w:szCs w:val="22"/>
        </w:rPr>
      </w:pPr>
      <w:r w:rsidRPr="00BE28C4">
        <w:rPr>
          <w:i/>
          <w:szCs w:val="22"/>
        </w:rPr>
        <w:t>Pacjenci w podeszłym wieku</w:t>
      </w:r>
    </w:p>
    <w:p w14:paraId="08A5073F" w14:textId="77777777" w:rsidR="004E3AC5" w:rsidRPr="00BE28C4" w:rsidRDefault="00907ADD">
      <w:pPr>
        <w:shd w:val="clear" w:color="auto" w:fill="FFFFFF"/>
        <w:spacing w:line="240" w:lineRule="auto"/>
        <w:rPr>
          <w:szCs w:val="22"/>
        </w:rPr>
      </w:pPr>
      <w:r w:rsidRPr="00BE28C4">
        <w:rPr>
          <w:szCs w:val="22"/>
        </w:rPr>
        <w:t xml:space="preserve">Pacjenci w podeszłym wieku mogą być bardziej podatni na wystąpienie niektórych działań niepożądanych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związanych z ośrodkowym układem nerwowym (głównie zawrotów głowy i drżenia). U pacjentów w wyższych kategoriach wiekowych stwierdza się zwiększoną częstość występowania zaburzeń żołądkowo-jelitowych. Częstymi zdarzeniami prowadzącymi do odstawienia produktu u osób w podeszłym wieku były nudności, wymioty, zawroty głowy i zaparcia.</w:t>
      </w:r>
    </w:p>
    <w:p w14:paraId="3E13A014" w14:textId="77777777" w:rsidR="004E3AC5" w:rsidRPr="00BE28C4" w:rsidRDefault="004E3AC5">
      <w:pPr>
        <w:shd w:val="clear" w:color="auto" w:fill="FFFFFF"/>
        <w:spacing w:line="240" w:lineRule="auto"/>
        <w:rPr>
          <w:szCs w:val="22"/>
        </w:rPr>
      </w:pPr>
    </w:p>
    <w:p w14:paraId="11F105D6" w14:textId="77777777" w:rsidR="004E3AC5" w:rsidRPr="00BE28C4" w:rsidRDefault="00907ADD">
      <w:pPr>
        <w:keepNext/>
        <w:shd w:val="clear" w:color="auto" w:fill="FFFFFF"/>
        <w:spacing w:line="240" w:lineRule="auto"/>
        <w:rPr>
          <w:i/>
          <w:szCs w:val="22"/>
        </w:rPr>
      </w:pPr>
      <w:r w:rsidRPr="00BE28C4">
        <w:rPr>
          <w:i/>
          <w:szCs w:val="22"/>
        </w:rPr>
        <w:t>Cukrzyca typu 2</w:t>
      </w:r>
    </w:p>
    <w:p w14:paraId="6679A07B" w14:textId="77777777" w:rsidR="004E3AC5" w:rsidRPr="00BE28C4" w:rsidRDefault="00907ADD">
      <w:pPr>
        <w:shd w:val="clear" w:color="auto" w:fill="FFFFFF"/>
        <w:spacing w:line="240" w:lineRule="auto"/>
        <w:rPr>
          <w:szCs w:val="22"/>
        </w:rPr>
      </w:pPr>
      <w:r w:rsidRPr="00BE28C4">
        <w:rPr>
          <w:szCs w:val="22"/>
        </w:rPr>
        <w:t xml:space="preserve">U chorych na cukrzycę typu 2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stwierdzono większą częstość występowania żołądkowo-jelitowych działań niepożądanych, głównie nudności, wymiotów i biegunki, niż u pacjentów bez cukrzycy. Chorzy na cukrzycę typu 2 mogą być bardziej podatni na występowanie tych działań niepożądanych, z powodu równoczesnego przyjmowania </w:t>
      </w:r>
      <w:r w:rsidRPr="00BE28C4">
        <w:rPr>
          <w:szCs w:val="22"/>
        </w:rPr>
        <w:lastRenderedPageBreak/>
        <w:t xml:space="preserve">innych produktów leczniczych (np. </w:t>
      </w:r>
      <w:proofErr w:type="spellStart"/>
      <w:r w:rsidRPr="00BE28C4">
        <w:rPr>
          <w:szCs w:val="22"/>
        </w:rPr>
        <w:t>metforminy</w:t>
      </w:r>
      <w:proofErr w:type="spellEnd"/>
      <w:r w:rsidRPr="00BE28C4">
        <w:rPr>
          <w:szCs w:val="22"/>
        </w:rPr>
        <w:t xml:space="preserve">) lub ze względu na większe prawdopodobieństwo występowania u nich zaburzeń żołądkowo-jelitowych (np. </w:t>
      </w:r>
      <w:proofErr w:type="spellStart"/>
      <w:r w:rsidRPr="00BE28C4">
        <w:rPr>
          <w:szCs w:val="22"/>
        </w:rPr>
        <w:t>gastroparezy</w:t>
      </w:r>
      <w:proofErr w:type="spellEnd"/>
      <w:r w:rsidRPr="00BE28C4">
        <w:rPr>
          <w:szCs w:val="22"/>
        </w:rPr>
        <w:t>) predysponujących do wystąpienia objawów ze strony układu pokarmowego.</w:t>
      </w:r>
    </w:p>
    <w:p w14:paraId="630E824C" w14:textId="77777777" w:rsidR="004E3AC5" w:rsidRPr="00BE28C4" w:rsidRDefault="004E3AC5">
      <w:pPr>
        <w:shd w:val="clear" w:color="auto" w:fill="FFFFFF"/>
        <w:spacing w:line="240" w:lineRule="auto"/>
        <w:rPr>
          <w:szCs w:val="22"/>
        </w:rPr>
      </w:pPr>
    </w:p>
    <w:p w14:paraId="3EA981DD" w14:textId="77777777" w:rsidR="004E3AC5" w:rsidRPr="00BE28C4" w:rsidRDefault="00907ADD">
      <w:pPr>
        <w:shd w:val="clear" w:color="auto" w:fill="FFFFFF"/>
        <w:spacing w:line="240" w:lineRule="auto"/>
        <w:rPr>
          <w:i/>
          <w:szCs w:val="22"/>
        </w:rPr>
      </w:pPr>
      <w:r w:rsidRPr="00BE28C4">
        <w:rPr>
          <w:i/>
          <w:szCs w:val="22"/>
        </w:rPr>
        <w:t>Zaburzenia czynności nerek</w:t>
      </w:r>
    </w:p>
    <w:p w14:paraId="07E7D67A" w14:textId="77777777" w:rsidR="004E3AC5" w:rsidRPr="00BE28C4" w:rsidRDefault="00907ADD">
      <w:pPr>
        <w:shd w:val="clear" w:color="auto" w:fill="FFFFFF"/>
        <w:spacing w:line="240" w:lineRule="auto"/>
        <w:rPr>
          <w:szCs w:val="22"/>
        </w:rPr>
      </w:pPr>
      <w:r w:rsidRPr="00BE28C4">
        <w:rPr>
          <w:szCs w:val="22"/>
        </w:rPr>
        <w:t xml:space="preserve">U pacjentów z umiarkowanymi zaburzeniami czynności nerek stwierdzano częstsze występowanie reakcji niepożądanych związanych z przewodem pokarmowym i ośrodkowym układem nerwowym, co świadczy o ogólnie gorszej u tych pacjentów tolerancji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podawanego w łącznej dawce dobowej zawierającej 32 mg chlorowodorku </w:t>
      </w:r>
      <w:proofErr w:type="spellStart"/>
      <w:r w:rsidRPr="00BE28C4">
        <w:rPr>
          <w:szCs w:val="22"/>
        </w:rPr>
        <w:t>naltreksonu</w:t>
      </w:r>
      <w:proofErr w:type="spellEnd"/>
      <w:r w:rsidRPr="00BE28C4">
        <w:rPr>
          <w:szCs w:val="22"/>
        </w:rPr>
        <w:t xml:space="preserve"> i 360 mg chlorowodorku </w:t>
      </w:r>
      <w:proofErr w:type="spellStart"/>
      <w:r w:rsidRPr="00BE28C4">
        <w:rPr>
          <w:szCs w:val="22"/>
        </w:rPr>
        <w:t>bupropionu</w:t>
      </w:r>
      <w:proofErr w:type="spellEnd"/>
      <w:r w:rsidRPr="00BE28C4">
        <w:rPr>
          <w:szCs w:val="22"/>
        </w:rPr>
        <w:t>, co wydaje się wynikać z podwyższonego stężenia aktywnych metabolitów w osoczu. Rodzaje zdarzeń świadczących o gorszej tolerancji były podobne do rodzajów zdarzeń stwierdzanych u pacjentów z prawidłową czynnością nerek (patrz punkty 4.2, 4.4 i 5.2).</w:t>
      </w:r>
    </w:p>
    <w:p w14:paraId="641BBBF8" w14:textId="77777777" w:rsidR="004E3AC5" w:rsidRPr="00BE28C4" w:rsidRDefault="004E3AC5">
      <w:pPr>
        <w:shd w:val="clear" w:color="auto" w:fill="FFFFFF"/>
        <w:spacing w:line="240" w:lineRule="auto"/>
        <w:rPr>
          <w:szCs w:val="22"/>
        </w:rPr>
      </w:pPr>
    </w:p>
    <w:p w14:paraId="1706F509" w14:textId="77777777" w:rsidR="004E3AC5" w:rsidRPr="00BE28C4" w:rsidRDefault="00907ADD">
      <w:pPr>
        <w:spacing w:line="240" w:lineRule="auto"/>
        <w:rPr>
          <w:szCs w:val="22"/>
          <w:u w:val="single"/>
        </w:rPr>
      </w:pPr>
      <w:r w:rsidRPr="00BE28C4">
        <w:rPr>
          <w:szCs w:val="22"/>
          <w:u w:val="single"/>
        </w:rPr>
        <w:t>Zgłaszanie podejrzewanych działań niepożądanych</w:t>
      </w:r>
    </w:p>
    <w:p w14:paraId="00F308E1" w14:textId="77777777" w:rsidR="004E3AC5" w:rsidRPr="00BE28C4" w:rsidRDefault="00907ADD">
      <w:pPr>
        <w:spacing w:line="240" w:lineRule="auto"/>
        <w:rPr>
          <w:szCs w:val="22"/>
        </w:rPr>
      </w:pPr>
      <w:r w:rsidRPr="00BE28C4">
        <w:rPr>
          <w:szCs w:val="22"/>
        </w:rPr>
        <w:t xml:space="preserve">Po dopuszczeniu produktu leczniczego do obrotu istotne jest zgłaszanie podejrzewanych reakcji niepożądanych. Umożliwia to nieprzerwane monitorowanie stosunku korzyści do ryzyka stosowania produktu leczniczego. Osoby należące do fachowego personelu medycznego powinny zgłaszać wszelkie podejrzewane działania niepożądane za pośrednictwem </w:t>
      </w:r>
      <w:r w:rsidRPr="00BE28C4">
        <w:t xml:space="preserve">krajowego systemu zgłaszania wymienionego w </w:t>
      </w:r>
      <w:hyperlink r:id="rId11" w:history="1">
        <w:r w:rsidRPr="00BE28C4">
          <w:rPr>
            <w:rStyle w:val="Hipercze"/>
            <w:color w:val="auto"/>
          </w:rPr>
          <w:t>załączniku V</w:t>
        </w:r>
      </w:hyperlink>
      <w:r w:rsidRPr="00BE28C4">
        <w:rPr>
          <w:szCs w:val="22"/>
        </w:rPr>
        <w:t>.</w:t>
      </w:r>
    </w:p>
    <w:p w14:paraId="06A85278" w14:textId="77777777" w:rsidR="004E3AC5" w:rsidRPr="00BE28C4" w:rsidRDefault="004E3AC5">
      <w:pPr>
        <w:spacing w:line="240" w:lineRule="auto"/>
        <w:rPr>
          <w:szCs w:val="22"/>
        </w:rPr>
      </w:pPr>
    </w:p>
    <w:p w14:paraId="027077F3" w14:textId="77777777" w:rsidR="004E3AC5" w:rsidRPr="00BE28C4" w:rsidRDefault="00907ADD">
      <w:pPr>
        <w:keepNext/>
        <w:spacing w:line="240" w:lineRule="auto"/>
        <w:ind w:left="567" w:hanging="567"/>
        <w:rPr>
          <w:szCs w:val="22"/>
        </w:rPr>
      </w:pPr>
      <w:r w:rsidRPr="00BE28C4">
        <w:rPr>
          <w:b/>
          <w:szCs w:val="22"/>
        </w:rPr>
        <w:t>4.9</w:t>
      </w:r>
      <w:r w:rsidRPr="00BE28C4">
        <w:rPr>
          <w:szCs w:val="22"/>
        </w:rPr>
        <w:tab/>
      </w:r>
      <w:r w:rsidRPr="00BE28C4">
        <w:rPr>
          <w:b/>
          <w:szCs w:val="22"/>
        </w:rPr>
        <w:t>Przedawkowanie</w:t>
      </w:r>
    </w:p>
    <w:p w14:paraId="2FB666A6" w14:textId="77777777" w:rsidR="004E3AC5" w:rsidRPr="00BE28C4" w:rsidRDefault="004E3AC5">
      <w:pPr>
        <w:keepNext/>
        <w:spacing w:line="240" w:lineRule="auto"/>
        <w:ind w:left="567" w:hanging="567"/>
        <w:rPr>
          <w:szCs w:val="22"/>
          <w:u w:val="single"/>
        </w:rPr>
      </w:pPr>
    </w:p>
    <w:p w14:paraId="038CBFCF" w14:textId="77777777" w:rsidR="004E3AC5" w:rsidRPr="00BE28C4" w:rsidRDefault="00907ADD">
      <w:pPr>
        <w:keepNext/>
        <w:spacing w:line="240" w:lineRule="auto"/>
        <w:ind w:left="567" w:hanging="567"/>
        <w:rPr>
          <w:szCs w:val="22"/>
          <w:u w:val="single"/>
        </w:rPr>
      </w:pPr>
      <w:r w:rsidRPr="00BE28C4">
        <w:rPr>
          <w:szCs w:val="22"/>
          <w:u w:val="single"/>
        </w:rPr>
        <w:t>Przedawkowanie u ludzi</w:t>
      </w:r>
    </w:p>
    <w:p w14:paraId="49A72484" w14:textId="77777777" w:rsidR="004E3AC5" w:rsidRPr="00BE28C4" w:rsidRDefault="00907ADD">
      <w:pPr>
        <w:spacing w:line="240" w:lineRule="auto"/>
        <w:rPr>
          <w:szCs w:val="22"/>
        </w:rPr>
      </w:pPr>
      <w:r w:rsidRPr="00BE28C4">
        <w:rPr>
          <w:szCs w:val="22"/>
        </w:rPr>
        <w:t xml:space="preserve">Brak doświadczenia klinicznego dotyczącego przedawkowania </w:t>
      </w:r>
      <w:proofErr w:type="spellStart"/>
      <w:r w:rsidRPr="00BE28C4">
        <w:rPr>
          <w:szCs w:val="22"/>
        </w:rPr>
        <w:t>bupropionu</w:t>
      </w:r>
      <w:proofErr w:type="spellEnd"/>
      <w:r w:rsidRPr="00BE28C4">
        <w:rPr>
          <w:szCs w:val="22"/>
        </w:rPr>
        <w:t xml:space="preserve"> i </w:t>
      </w:r>
      <w:proofErr w:type="spellStart"/>
      <w:r w:rsidRPr="00BE28C4">
        <w:rPr>
          <w:szCs w:val="22"/>
        </w:rPr>
        <w:t>naltreksonu</w:t>
      </w:r>
      <w:proofErr w:type="spellEnd"/>
      <w:r w:rsidRPr="00BE28C4">
        <w:rPr>
          <w:szCs w:val="22"/>
        </w:rPr>
        <w:t xml:space="preserve"> stosowanych łącznie. Maksymalna dawka dobowa w przypadku skojarzonego stosowania </w:t>
      </w:r>
      <w:proofErr w:type="spellStart"/>
      <w:r w:rsidRPr="00BE28C4">
        <w:rPr>
          <w:szCs w:val="22"/>
        </w:rPr>
        <w:t>bupropionu</w:t>
      </w:r>
      <w:proofErr w:type="spellEnd"/>
      <w:r w:rsidRPr="00BE28C4">
        <w:rPr>
          <w:szCs w:val="22"/>
        </w:rPr>
        <w:t xml:space="preserve"> i </w:t>
      </w:r>
      <w:proofErr w:type="spellStart"/>
      <w:r w:rsidRPr="00BE28C4">
        <w:rPr>
          <w:szCs w:val="22"/>
        </w:rPr>
        <w:t>naltreksonu</w:t>
      </w:r>
      <w:proofErr w:type="spellEnd"/>
      <w:r w:rsidRPr="00BE28C4">
        <w:rPr>
          <w:szCs w:val="22"/>
        </w:rPr>
        <w:t xml:space="preserve"> w badaniach klinicznych wynosiła 50 mg chlorowodorku </w:t>
      </w:r>
      <w:proofErr w:type="spellStart"/>
      <w:r w:rsidRPr="00BE28C4">
        <w:rPr>
          <w:szCs w:val="22"/>
        </w:rPr>
        <w:t>naltreksonu</w:t>
      </w:r>
      <w:proofErr w:type="spellEnd"/>
      <w:r w:rsidRPr="00BE28C4">
        <w:rPr>
          <w:szCs w:val="22"/>
        </w:rPr>
        <w:t xml:space="preserve"> i 400 mg chlorowodorku </w:t>
      </w:r>
      <w:proofErr w:type="spellStart"/>
      <w:r w:rsidRPr="00BE28C4">
        <w:rPr>
          <w:szCs w:val="22"/>
        </w:rPr>
        <w:t>bupropionu</w:t>
      </w:r>
      <w:proofErr w:type="spellEnd"/>
      <w:r w:rsidRPr="00BE28C4">
        <w:rPr>
          <w:szCs w:val="22"/>
        </w:rPr>
        <w:t xml:space="preserve">. Najpoważniejsze konsekwencje kliniczne przedawkowania w przypadku skojarzonego stosowania </w:t>
      </w:r>
      <w:proofErr w:type="spellStart"/>
      <w:r w:rsidRPr="00BE28C4">
        <w:rPr>
          <w:szCs w:val="22"/>
        </w:rPr>
        <w:t>bupropionu</w:t>
      </w:r>
      <w:proofErr w:type="spellEnd"/>
      <w:r w:rsidRPr="00BE28C4">
        <w:rPr>
          <w:szCs w:val="22"/>
        </w:rPr>
        <w:t xml:space="preserve"> i </w:t>
      </w:r>
      <w:proofErr w:type="spellStart"/>
      <w:r w:rsidRPr="00BE28C4">
        <w:rPr>
          <w:szCs w:val="22"/>
        </w:rPr>
        <w:t>naltreksonu</w:t>
      </w:r>
      <w:proofErr w:type="spellEnd"/>
      <w:r w:rsidRPr="00BE28C4">
        <w:rPr>
          <w:szCs w:val="22"/>
        </w:rPr>
        <w:t xml:space="preserve"> będą najprawdopodobniej związane z </w:t>
      </w:r>
      <w:proofErr w:type="spellStart"/>
      <w:r w:rsidRPr="00BE28C4">
        <w:rPr>
          <w:szCs w:val="22"/>
        </w:rPr>
        <w:t>bupropionem</w:t>
      </w:r>
      <w:proofErr w:type="spellEnd"/>
      <w:r w:rsidRPr="00BE28C4">
        <w:rPr>
          <w:szCs w:val="22"/>
        </w:rPr>
        <w:t xml:space="preserve">. </w:t>
      </w:r>
    </w:p>
    <w:p w14:paraId="2C30BE43" w14:textId="77777777" w:rsidR="004E3AC5" w:rsidRPr="00BE28C4" w:rsidRDefault="004E3AC5">
      <w:pPr>
        <w:spacing w:line="240" w:lineRule="auto"/>
        <w:rPr>
          <w:szCs w:val="22"/>
        </w:rPr>
      </w:pPr>
    </w:p>
    <w:p w14:paraId="64FFCFCD" w14:textId="77777777" w:rsidR="004E3AC5" w:rsidRPr="00BE28C4" w:rsidRDefault="00907ADD">
      <w:pPr>
        <w:keepNext/>
        <w:spacing w:line="240" w:lineRule="auto"/>
        <w:rPr>
          <w:i/>
          <w:szCs w:val="22"/>
        </w:rPr>
      </w:pPr>
      <w:proofErr w:type="spellStart"/>
      <w:r w:rsidRPr="00BE28C4">
        <w:rPr>
          <w:i/>
          <w:szCs w:val="22"/>
        </w:rPr>
        <w:t>Bupropion</w:t>
      </w:r>
      <w:proofErr w:type="spellEnd"/>
    </w:p>
    <w:p w14:paraId="44D3E5E8" w14:textId="77777777" w:rsidR="004E3AC5" w:rsidRPr="00BE28C4" w:rsidRDefault="00907ADD">
      <w:pPr>
        <w:keepNext/>
        <w:spacing w:line="240" w:lineRule="auto"/>
        <w:rPr>
          <w:szCs w:val="22"/>
        </w:rPr>
      </w:pPr>
      <w:r w:rsidRPr="00BE28C4">
        <w:rPr>
          <w:szCs w:val="22"/>
        </w:rPr>
        <w:t>Opisano przypadki jednorazowego przyjęcia dawki większej niż 10</w:t>
      </w:r>
      <w:r w:rsidRPr="00BE28C4">
        <w:rPr>
          <w:szCs w:val="22"/>
        </w:rPr>
        <w:noBreakHyphen/>
        <w:t xml:space="preserve">krotność maksymalnej dawki leczniczej </w:t>
      </w:r>
      <w:proofErr w:type="spellStart"/>
      <w:r w:rsidRPr="00BE28C4">
        <w:rPr>
          <w:szCs w:val="22"/>
        </w:rPr>
        <w:t>bupropionu</w:t>
      </w:r>
      <w:proofErr w:type="spellEnd"/>
      <w:r w:rsidRPr="00BE28C4">
        <w:rPr>
          <w:szCs w:val="22"/>
        </w:rPr>
        <w:t xml:space="preserve"> (co odpowiada przyjęciu 8-krotności zalecanej dawki dobowej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 około jednej trzeciej wspomnianych wyżej przypadków przedawkowania wystąpił napad drgawkowy. Inne ciężkie działania niepożądane zgłaszane w przypadku przedawkowania </w:t>
      </w:r>
      <w:proofErr w:type="spellStart"/>
      <w:r w:rsidRPr="00BE28C4">
        <w:rPr>
          <w:szCs w:val="22"/>
        </w:rPr>
        <w:t>bupropionu</w:t>
      </w:r>
      <w:proofErr w:type="spellEnd"/>
      <w:r w:rsidRPr="00BE28C4">
        <w:rPr>
          <w:szCs w:val="22"/>
        </w:rPr>
        <w:t xml:space="preserve"> obejmowały: omamy, utratę przytomności, częstoskurcz zatokowy, </w:t>
      </w:r>
      <w:r w:rsidRPr="00BE28C4">
        <w:rPr>
          <w:szCs w:val="22"/>
        </w:rPr>
        <w:br/>
        <w:t xml:space="preserve">a także zmiany w EKG, takie jak zaburzenia przewodzenia (w tym wydłużenie zespołu QRS) i zaburzenia rytmu. Gorączkę, sztywność mięśni, </w:t>
      </w:r>
      <w:proofErr w:type="spellStart"/>
      <w:r w:rsidRPr="00BE28C4">
        <w:rPr>
          <w:szCs w:val="22"/>
        </w:rPr>
        <w:t>rabdomiolizę</w:t>
      </w:r>
      <w:proofErr w:type="spellEnd"/>
      <w:r w:rsidRPr="00BE28C4">
        <w:rPr>
          <w:szCs w:val="22"/>
        </w:rPr>
        <w:t xml:space="preserve">, niedociśnienie tętnicze, stupor, śpiączkę i niewydolność oddechową opisywano głównie w przypadkach przedawkowania wielolekowego obejmującego, m.in. przedawkowanie </w:t>
      </w:r>
      <w:proofErr w:type="spellStart"/>
      <w:r w:rsidRPr="00BE28C4">
        <w:rPr>
          <w:szCs w:val="22"/>
        </w:rPr>
        <w:t>bupropionu</w:t>
      </w:r>
      <w:proofErr w:type="spellEnd"/>
      <w:r w:rsidRPr="00BE28C4">
        <w:rPr>
          <w:szCs w:val="22"/>
        </w:rPr>
        <w:t>.</w:t>
      </w:r>
    </w:p>
    <w:p w14:paraId="1027C77B" w14:textId="77777777" w:rsidR="004E3AC5" w:rsidRPr="00BE28C4" w:rsidRDefault="004E3AC5">
      <w:pPr>
        <w:spacing w:line="240" w:lineRule="auto"/>
        <w:rPr>
          <w:szCs w:val="22"/>
        </w:rPr>
      </w:pPr>
    </w:p>
    <w:p w14:paraId="611C7720" w14:textId="77777777" w:rsidR="004E3AC5" w:rsidRPr="00BE28C4" w:rsidRDefault="00907ADD">
      <w:pPr>
        <w:spacing w:line="240" w:lineRule="auto"/>
        <w:rPr>
          <w:szCs w:val="22"/>
        </w:rPr>
      </w:pPr>
      <w:r w:rsidRPr="00BE28C4">
        <w:rPr>
          <w:szCs w:val="22"/>
        </w:rPr>
        <w:t xml:space="preserve">Choć u większości pacjentów nastąpił całkowity powrót do zdrowia bez niekorzystnych następstw, to u pacjentów, którzy przyjęli duże dawki </w:t>
      </w:r>
      <w:proofErr w:type="spellStart"/>
      <w:r w:rsidRPr="00BE28C4">
        <w:rPr>
          <w:szCs w:val="22"/>
        </w:rPr>
        <w:t>bupropionu</w:t>
      </w:r>
      <w:proofErr w:type="spellEnd"/>
      <w:r w:rsidRPr="00BE28C4">
        <w:rPr>
          <w:szCs w:val="22"/>
        </w:rPr>
        <w:t xml:space="preserve"> jako jedynego leku, miały miejsce zgony w związku z jego przedawkowaniem. Zgłaszano również występowanie zespołu serotoninowego.</w:t>
      </w:r>
    </w:p>
    <w:p w14:paraId="1C12DE5E" w14:textId="77777777" w:rsidR="004E3AC5" w:rsidRPr="00BE28C4" w:rsidRDefault="004E3AC5">
      <w:pPr>
        <w:spacing w:line="240" w:lineRule="auto"/>
        <w:rPr>
          <w:szCs w:val="22"/>
        </w:rPr>
      </w:pPr>
    </w:p>
    <w:p w14:paraId="1AE98A87" w14:textId="77777777" w:rsidR="004E3AC5" w:rsidRPr="00BE28C4" w:rsidRDefault="00907ADD">
      <w:pPr>
        <w:spacing w:line="240" w:lineRule="auto"/>
        <w:rPr>
          <w:i/>
          <w:szCs w:val="22"/>
        </w:rPr>
      </w:pPr>
      <w:proofErr w:type="spellStart"/>
      <w:r w:rsidRPr="00BE28C4">
        <w:rPr>
          <w:i/>
          <w:szCs w:val="22"/>
        </w:rPr>
        <w:t>Naltrekson</w:t>
      </w:r>
      <w:proofErr w:type="spellEnd"/>
    </w:p>
    <w:p w14:paraId="0C74105F" w14:textId="77777777" w:rsidR="004E3AC5" w:rsidRPr="00BE28C4" w:rsidRDefault="00907ADD">
      <w:pPr>
        <w:spacing w:line="240" w:lineRule="auto"/>
        <w:rPr>
          <w:szCs w:val="22"/>
        </w:rPr>
      </w:pPr>
      <w:r w:rsidRPr="00BE28C4">
        <w:rPr>
          <w:szCs w:val="22"/>
        </w:rPr>
        <w:t xml:space="preserve">Istnieją ograniczone dane na temat przedawkowania </w:t>
      </w:r>
      <w:proofErr w:type="spellStart"/>
      <w:r w:rsidRPr="00BE28C4">
        <w:rPr>
          <w:szCs w:val="22"/>
        </w:rPr>
        <w:t>naltreksonu</w:t>
      </w:r>
      <w:proofErr w:type="spellEnd"/>
      <w:r w:rsidRPr="00BE28C4">
        <w:rPr>
          <w:szCs w:val="22"/>
        </w:rPr>
        <w:t xml:space="preserve"> w </w:t>
      </w:r>
      <w:proofErr w:type="spellStart"/>
      <w:r w:rsidRPr="00BE28C4">
        <w:rPr>
          <w:szCs w:val="22"/>
        </w:rPr>
        <w:t>monoterapii</w:t>
      </w:r>
      <w:proofErr w:type="spellEnd"/>
      <w:r w:rsidRPr="00BE28C4">
        <w:rPr>
          <w:szCs w:val="22"/>
        </w:rPr>
        <w:t xml:space="preserve"> u ludzi. W jednym z przeprowadzonych badań pacjenci otrzymywali </w:t>
      </w:r>
      <w:proofErr w:type="spellStart"/>
      <w:r w:rsidRPr="00BE28C4">
        <w:rPr>
          <w:szCs w:val="22"/>
        </w:rPr>
        <w:t>naltreksonu</w:t>
      </w:r>
      <w:proofErr w:type="spellEnd"/>
      <w:r w:rsidRPr="00BE28C4">
        <w:rPr>
          <w:szCs w:val="22"/>
        </w:rPr>
        <w:t xml:space="preserve"> chlorowodorek w dawce dobowej 800 mg (co odpowiada 25</w:t>
      </w:r>
      <w:r w:rsidRPr="00BE28C4">
        <w:rPr>
          <w:szCs w:val="22"/>
        </w:rPr>
        <w:noBreakHyphen/>
        <w:t xml:space="preserve">krotności zalecanej dawki dobowej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przez okres nieprzekraczający jednego tygodnia, czemu nie towarzyszyły objawy toksyczności.</w:t>
      </w:r>
    </w:p>
    <w:p w14:paraId="5BA4D03F" w14:textId="77777777" w:rsidR="004E3AC5" w:rsidRPr="00BE28C4" w:rsidRDefault="004E3AC5">
      <w:pPr>
        <w:spacing w:line="240" w:lineRule="auto"/>
        <w:rPr>
          <w:b/>
          <w:szCs w:val="22"/>
        </w:rPr>
      </w:pPr>
    </w:p>
    <w:p w14:paraId="5CD5E284" w14:textId="77777777" w:rsidR="004E3AC5" w:rsidRPr="00BE28C4" w:rsidRDefault="00907ADD">
      <w:pPr>
        <w:spacing w:line="240" w:lineRule="auto"/>
        <w:rPr>
          <w:szCs w:val="22"/>
          <w:u w:val="single"/>
        </w:rPr>
      </w:pPr>
      <w:r w:rsidRPr="00BE28C4">
        <w:rPr>
          <w:szCs w:val="22"/>
          <w:u w:val="single"/>
        </w:rPr>
        <w:t>Postępowanie w przypadku przedawkowania</w:t>
      </w:r>
    </w:p>
    <w:p w14:paraId="145FD5CC" w14:textId="77777777" w:rsidR="004E3AC5" w:rsidRPr="00BE28C4" w:rsidRDefault="00907ADD">
      <w:pPr>
        <w:spacing w:line="240" w:lineRule="auto"/>
        <w:rPr>
          <w:szCs w:val="22"/>
        </w:rPr>
      </w:pPr>
      <w:r w:rsidRPr="00BE28C4">
        <w:rPr>
          <w:szCs w:val="22"/>
        </w:rPr>
        <w:t xml:space="preserve">Należy zapewnić utrzymanie drożności dróg oddechowych, odpowiednie natlenienie krwi </w:t>
      </w:r>
      <w:r w:rsidRPr="00BE28C4">
        <w:rPr>
          <w:szCs w:val="22"/>
        </w:rPr>
        <w:br/>
        <w:t xml:space="preserve">i odpowiednią wentylację płuc. Należy monitorować rytm serca i parametry życiowe. Przez pierwsze 48 godzin po przedawkowaniu zaleca się ponadto monitorowanie EEG. Zaleca się także ogólne działania podtrzymujące podstawowe czynności życiowe oraz leczenie objawowe. Nie zaleca się indukowania wymiotów. </w:t>
      </w:r>
    </w:p>
    <w:p w14:paraId="3B999F8B" w14:textId="77777777" w:rsidR="004E3AC5" w:rsidRPr="00BE28C4" w:rsidRDefault="004E3AC5">
      <w:pPr>
        <w:spacing w:line="240" w:lineRule="auto"/>
        <w:rPr>
          <w:szCs w:val="22"/>
        </w:rPr>
      </w:pPr>
    </w:p>
    <w:p w14:paraId="0F8A6653" w14:textId="77777777" w:rsidR="004E3AC5" w:rsidRPr="00BE28C4" w:rsidRDefault="00907ADD">
      <w:pPr>
        <w:spacing w:line="240" w:lineRule="auto"/>
        <w:rPr>
          <w:szCs w:val="22"/>
        </w:rPr>
      </w:pPr>
      <w:r w:rsidRPr="00BE28C4">
        <w:rPr>
          <w:szCs w:val="22"/>
        </w:rPr>
        <w:lastRenderedPageBreak/>
        <w:t xml:space="preserve">Należy podać węgiel aktywny. Brak danych na temat stosowania diurezy wymuszonej, dializy, hemoperfuzji i transfuzji wymiennej w leczeniu przedawkowania </w:t>
      </w:r>
      <w:proofErr w:type="spellStart"/>
      <w:r w:rsidRPr="00BE28C4">
        <w:rPr>
          <w:szCs w:val="22"/>
        </w:rPr>
        <w:t>bupropionu</w:t>
      </w:r>
      <w:proofErr w:type="spellEnd"/>
      <w:r w:rsidRPr="00BE28C4">
        <w:rPr>
          <w:szCs w:val="22"/>
        </w:rPr>
        <w:t xml:space="preserve"> w skojarzeniu z </w:t>
      </w:r>
      <w:proofErr w:type="spellStart"/>
      <w:r w:rsidRPr="00BE28C4">
        <w:rPr>
          <w:szCs w:val="22"/>
        </w:rPr>
        <w:t>naltreksonem</w:t>
      </w:r>
      <w:proofErr w:type="spellEnd"/>
      <w:r w:rsidRPr="00BE28C4">
        <w:rPr>
          <w:szCs w:val="22"/>
        </w:rPr>
        <w:t xml:space="preserve">. Nie są znane żadne swoiste odtrutki na skojarzenie </w:t>
      </w:r>
      <w:proofErr w:type="spellStart"/>
      <w:r w:rsidRPr="00BE28C4">
        <w:rPr>
          <w:szCs w:val="22"/>
        </w:rPr>
        <w:t>bupropionu</w:t>
      </w:r>
      <w:proofErr w:type="spellEnd"/>
      <w:r w:rsidRPr="00BE28C4">
        <w:rPr>
          <w:szCs w:val="22"/>
        </w:rPr>
        <w:t xml:space="preserve"> z </w:t>
      </w:r>
      <w:proofErr w:type="spellStart"/>
      <w:r w:rsidRPr="00BE28C4">
        <w:rPr>
          <w:szCs w:val="22"/>
        </w:rPr>
        <w:t>naltreksonem</w:t>
      </w:r>
      <w:proofErr w:type="spellEnd"/>
      <w:r w:rsidRPr="00BE28C4">
        <w:rPr>
          <w:szCs w:val="22"/>
        </w:rPr>
        <w:t>.</w:t>
      </w:r>
    </w:p>
    <w:p w14:paraId="4B8434ED" w14:textId="77777777" w:rsidR="004E3AC5" w:rsidRPr="00BE28C4" w:rsidRDefault="004E3AC5">
      <w:pPr>
        <w:spacing w:line="240" w:lineRule="auto"/>
        <w:rPr>
          <w:szCs w:val="22"/>
        </w:rPr>
      </w:pPr>
    </w:p>
    <w:p w14:paraId="29EF3979" w14:textId="77777777" w:rsidR="004E3AC5" w:rsidRPr="00BE28C4" w:rsidRDefault="00907ADD">
      <w:pPr>
        <w:spacing w:line="240" w:lineRule="auto"/>
        <w:rPr>
          <w:szCs w:val="22"/>
        </w:rPr>
      </w:pPr>
      <w:r w:rsidRPr="00BE28C4">
        <w:rPr>
          <w:szCs w:val="22"/>
        </w:rPr>
        <w:t xml:space="preserve">Ze względu na zależne od dawki </w:t>
      </w:r>
      <w:proofErr w:type="spellStart"/>
      <w:r w:rsidRPr="00BE28C4">
        <w:rPr>
          <w:szCs w:val="22"/>
        </w:rPr>
        <w:t>bupropionu</w:t>
      </w:r>
      <w:proofErr w:type="spellEnd"/>
      <w:r w:rsidRPr="00BE28C4">
        <w:rPr>
          <w:szCs w:val="22"/>
        </w:rPr>
        <w:t xml:space="preserve"> ryzyko wystąpienia napadów drgawkowych, w przypadku podejrzenia przedawkowania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należy rozważyć hospitalizację. W oparciu o wyniki badań na zwierzętach zaleca się, aby w przypadku napadu drgawkowego podać dożylnie </w:t>
      </w:r>
      <w:proofErr w:type="spellStart"/>
      <w:r w:rsidRPr="00BE28C4">
        <w:rPr>
          <w:szCs w:val="22"/>
        </w:rPr>
        <w:t>benzodiazepiny</w:t>
      </w:r>
      <w:proofErr w:type="spellEnd"/>
      <w:r w:rsidRPr="00BE28C4">
        <w:rPr>
          <w:szCs w:val="22"/>
        </w:rPr>
        <w:t xml:space="preserve"> i podjąć inne, stosowne do sytuacji, działania podtrzymujące czynności życiowe.</w:t>
      </w:r>
    </w:p>
    <w:p w14:paraId="597C9479" w14:textId="77777777" w:rsidR="004E3AC5" w:rsidRPr="00BE28C4" w:rsidRDefault="004E3AC5">
      <w:pPr>
        <w:spacing w:line="240" w:lineRule="auto"/>
        <w:rPr>
          <w:szCs w:val="22"/>
        </w:rPr>
      </w:pPr>
    </w:p>
    <w:p w14:paraId="1B58C4AB" w14:textId="77777777" w:rsidR="004E3AC5" w:rsidRPr="00BE28C4" w:rsidRDefault="004E3AC5">
      <w:pPr>
        <w:spacing w:line="240" w:lineRule="auto"/>
        <w:rPr>
          <w:szCs w:val="22"/>
        </w:rPr>
      </w:pPr>
    </w:p>
    <w:p w14:paraId="377D9E60" w14:textId="77777777" w:rsidR="004E3AC5" w:rsidRPr="00BE28C4" w:rsidRDefault="00907ADD">
      <w:pPr>
        <w:spacing w:line="240" w:lineRule="auto"/>
        <w:ind w:left="567" w:hanging="567"/>
        <w:rPr>
          <w:szCs w:val="22"/>
        </w:rPr>
      </w:pPr>
      <w:r w:rsidRPr="00BE28C4">
        <w:rPr>
          <w:b/>
          <w:szCs w:val="22"/>
        </w:rPr>
        <w:t>5.</w:t>
      </w:r>
      <w:r w:rsidRPr="00BE28C4">
        <w:rPr>
          <w:szCs w:val="22"/>
        </w:rPr>
        <w:tab/>
      </w:r>
      <w:r w:rsidRPr="00BE28C4">
        <w:rPr>
          <w:b/>
          <w:szCs w:val="22"/>
        </w:rPr>
        <w:t>WŁAŚCIWOŚCI FARMAKOLOGICZNE</w:t>
      </w:r>
    </w:p>
    <w:p w14:paraId="6931A2F0" w14:textId="77777777" w:rsidR="004E3AC5" w:rsidRPr="00BE28C4" w:rsidRDefault="004E3AC5">
      <w:pPr>
        <w:spacing w:line="240" w:lineRule="auto"/>
        <w:rPr>
          <w:szCs w:val="22"/>
        </w:rPr>
      </w:pPr>
    </w:p>
    <w:p w14:paraId="3044B7C4" w14:textId="77777777" w:rsidR="004E3AC5" w:rsidRPr="00BE28C4" w:rsidRDefault="00907ADD">
      <w:pPr>
        <w:spacing w:line="240" w:lineRule="auto"/>
        <w:ind w:left="567" w:hanging="567"/>
        <w:outlineLvl w:val="0"/>
        <w:rPr>
          <w:szCs w:val="22"/>
        </w:rPr>
      </w:pPr>
      <w:r w:rsidRPr="00BE28C4">
        <w:rPr>
          <w:b/>
          <w:szCs w:val="22"/>
        </w:rPr>
        <w:t>5.1</w:t>
      </w:r>
      <w:r w:rsidRPr="00BE28C4">
        <w:rPr>
          <w:szCs w:val="22"/>
        </w:rPr>
        <w:tab/>
      </w:r>
      <w:r w:rsidRPr="00BE28C4">
        <w:rPr>
          <w:b/>
          <w:szCs w:val="22"/>
        </w:rPr>
        <w:t>Właściwości farmakodynamiczne</w:t>
      </w:r>
    </w:p>
    <w:p w14:paraId="574AA73A" w14:textId="77777777" w:rsidR="004E3AC5" w:rsidRPr="00BE28C4" w:rsidRDefault="004E3AC5">
      <w:pPr>
        <w:spacing w:line="240" w:lineRule="auto"/>
        <w:rPr>
          <w:szCs w:val="22"/>
        </w:rPr>
      </w:pPr>
    </w:p>
    <w:p w14:paraId="65FE51C8" w14:textId="77777777" w:rsidR="004E3AC5" w:rsidRPr="00BE28C4" w:rsidRDefault="00907ADD">
      <w:pPr>
        <w:spacing w:line="240" w:lineRule="auto"/>
        <w:outlineLvl w:val="0"/>
        <w:rPr>
          <w:szCs w:val="22"/>
        </w:rPr>
      </w:pPr>
      <w:r w:rsidRPr="00BE28C4">
        <w:rPr>
          <w:szCs w:val="22"/>
        </w:rPr>
        <w:t>Grupa farmakoterapeutyczna: preparaty przeciwko otyłości z wyłączeniem produktów dietetycznych, leki przeciw otyłości o działaniu ośrodkowym, kod ATC: A08AA62.</w:t>
      </w:r>
    </w:p>
    <w:p w14:paraId="68944D34" w14:textId="77777777" w:rsidR="004E3AC5" w:rsidRPr="00BE28C4" w:rsidRDefault="004E3AC5">
      <w:pPr>
        <w:autoSpaceDE w:val="0"/>
        <w:autoSpaceDN w:val="0"/>
        <w:adjustRightInd w:val="0"/>
        <w:spacing w:line="240" w:lineRule="auto"/>
        <w:rPr>
          <w:b/>
          <w:i/>
          <w:szCs w:val="22"/>
        </w:rPr>
      </w:pPr>
    </w:p>
    <w:p w14:paraId="1C62C525" w14:textId="77777777" w:rsidR="004E3AC5" w:rsidRPr="00BE28C4" w:rsidRDefault="00907ADD">
      <w:pPr>
        <w:keepNext/>
        <w:spacing w:line="240" w:lineRule="auto"/>
        <w:ind w:left="567" w:hanging="567"/>
        <w:rPr>
          <w:szCs w:val="22"/>
          <w:u w:val="single"/>
        </w:rPr>
      </w:pPr>
      <w:r w:rsidRPr="00BE28C4">
        <w:rPr>
          <w:szCs w:val="22"/>
          <w:u w:val="single"/>
        </w:rPr>
        <w:t>Mechanizm działania i działanie farmakodynamiczne</w:t>
      </w:r>
    </w:p>
    <w:p w14:paraId="1431DC95" w14:textId="77777777" w:rsidR="004E3AC5" w:rsidRPr="00BE28C4" w:rsidRDefault="00907ADD">
      <w:pPr>
        <w:autoSpaceDE w:val="0"/>
        <w:autoSpaceDN w:val="0"/>
        <w:adjustRightInd w:val="0"/>
        <w:spacing w:line="240" w:lineRule="auto"/>
        <w:rPr>
          <w:szCs w:val="22"/>
        </w:rPr>
      </w:pPr>
      <w:r w:rsidRPr="00BE28C4">
        <w:rPr>
          <w:szCs w:val="22"/>
        </w:rPr>
        <w:t xml:space="preserve">Mechanizmy neurochemiczne leżące u podłoża działania hamującego łaknienie, wywieranego przez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nie są dokładnie poznane. W skład omawianego produktu leczniczego wchodzą dwie substancje czynne: </w:t>
      </w:r>
      <w:proofErr w:type="spellStart"/>
      <w:r w:rsidRPr="00BE28C4">
        <w:rPr>
          <w:szCs w:val="22"/>
        </w:rPr>
        <w:t>naltrekson</w:t>
      </w:r>
      <w:proofErr w:type="spellEnd"/>
      <w:r w:rsidRPr="00BE28C4">
        <w:rPr>
          <w:szCs w:val="22"/>
        </w:rPr>
        <w:t xml:space="preserve"> będący antagonistą receptora opioidowego µ oraz </w:t>
      </w:r>
      <w:proofErr w:type="spellStart"/>
      <w:r w:rsidRPr="00BE28C4">
        <w:rPr>
          <w:szCs w:val="22"/>
        </w:rPr>
        <w:t>bupropion</w:t>
      </w:r>
      <w:proofErr w:type="spellEnd"/>
      <w:r w:rsidRPr="00BE28C4">
        <w:rPr>
          <w:szCs w:val="22"/>
        </w:rPr>
        <w:t xml:space="preserve"> będący słabym inhibitorem neuronalnego wychwytu zwrotnego dopaminy i noradrenaliny. Obie te substancje czynne oddziałują na dwa główne obszary mózgu, konkretnie na jądro łukowate podwzgórza i </w:t>
      </w:r>
      <w:proofErr w:type="spellStart"/>
      <w:r w:rsidRPr="00BE28C4">
        <w:rPr>
          <w:szCs w:val="22"/>
        </w:rPr>
        <w:t>mezolimbiczny</w:t>
      </w:r>
      <w:proofErr w:type="spellEnd"/>
      <w:r w:rsidRPr="00BE28C4">
        <w:rPr>
          <w:szCs w:val="22"/>
        </w:rPr>
        <w:t xml:space="preserve"> dopaminergiczny układ nagrody.</w:t>
      </w:r>
    </w:p>
    <w:p w14:paraId="57E80630" w14:textId="77777777" w:rsidR="004E3AC5" w:rsidRPr="00BE28C4" w:rsidRDefault="004E3AC5">
      <w:pPr>
        <w:autoSpaceDE w:val="0"/>
        <w:autoSpaceDN w:val="0"/>
        <w:adjustRightInd w:val="0"/>
        <w:spacing w:line="240" w:lineRule="auto"/>
        <w:rPr>
          <w:szCs w:val="22"/>
        </w:rPr>
      </w:pPr>
    </w:p>
    <w:p w14:paraId="7B4232E8" w14:textId="77777777" w:rsidR="004E3AC5" w:rsidRPr="00BE28C4" w:rsidRDefault="00907ADD">
      <w:pPr>
        <w:spacing w:line="240" w:lineRule="auto"/>
        <w:outlineLvl w:val="0"/>
        <w:rPr>
          <w:szCs w:val="22"/>
        </w:rPr>
      </w:pPr>
      <w:r w:rsidRPr="00BE28C4">
        <w:rPr>
          <w:szCs w:val="22"/>
        </w:rPr>
        <w:t xml:space="preserve">W jądrze łukowatym podwzgórza </w:t>
      </w:r>
      <w:proofErr w:type="spellStart"/>
      <w:r w:rsidRPr="00BE28C4">
        <w:rPr>
          <w:szCs w:val="22"/>
        </w:rPr>
        <w:t>bupropion</w:t>
      </w:r>
      <w:proofErr w:type="spellEnd"/>
      <w:r w:rsidRPr="00BE28C4">
        <w:rPr>
          <w:szCs w:val="22"/>
        </w:rPr>
        <w:t xml:space="preserve"> pobudza neurony </w:t>
      </w:r>
      <w:proofErr w:type="spellStart"/>
      <w:r w:rsidRPr="00BE28C4">
        <w:rPr>
          <w:szCs w:val="22"/>
        </w:rPr>
        <w:t>proopiomelanokortynowe</w:t>
      </w:r>
      <w:proofErr w:type="spellEnd"/>
      <w:r w:rsidRPr="00BE28C4">
        <w:rPr>
          <w:szCs w:val="22"/>
        </w:rPr>
        <w:t xml:space="preserve"> (POMC), które </w:t>
      </w:r>
      <w:proofErr w:type="spellStart"/>
      <w:r w:rsidRPr="00BE28C4">
        <w:rPr>
          <w:szCs w:val="22"/>
        </w:rPr>
        <w:t>uwalnianiają</w:t>
      </w:r>
      <w:proofErr w:type="spellEnd"/>
      <w:r w:rsidRPr="00BE28C4">
        <w:rPr>
          <w:szCs w:val="22"/>
        </w:rPr>
        <w:t xml:space="preserve"> alfa-melanotropinę (α</w:t>
      </w:r>
      <w:r w:rsidRPr="00BE28C4">
        <w:rPr>
          <w:szCs w:val="22"/>
        </w:rPr>
        <w:noBreakHyphen/>
        <w:t xml:space="preserve">MSH), która z kolei wiąże się z receptorami </w:t>
      </w:r>
      <w:proofErr w:type="spellStart"/>
      <w:r w:rsidRPr="00BE28C4">
        <w:rPr>
          <w:szCs w:val="22"/>
        </w:rPr>
        <w:t>melanokortyny</w:t>
      </w:r>
      <w:proofErr w:type="spellEnd"/>
      <w:r w:rsidRPr="00BE28C4">
        <w:rPr>
          <w:szCs w:val="22"/>
        </w:rPr>
        <w:t> 4 (MC4</w:t>
      </w:r>
      <w:r w:rsidRPr="00BE28C4">
        <w:rPr>
          <w:szCs w:val="22"/>
        </w:rPr>
        <w:noBreakHyphen/>
        <w:t>R) i pobudza je. Równocześnie z uwolnieniem α</w:t>
      </w:r>
      <w:r w:rsidRPr="00BE28C4">
        <w:rPr>
          <w:szCs w:val="22"/>
        </w:rPr>
        <w:noBreakHyphen/>
        <w:t>MSH neurony POMC uwalniają β</w:t>
      </w:r>
      <w:r w:rsidRPr="00BE28C4">
        <w:rPr>
          <w:szCs w:val="22"/>
        </w:rPr>
        <w:noBreakHyphen/>
        <w:t>endorfinę będącą endogennym agonistą receptorów opioidowych µ. Związanie β</w:t>
      </w:r>
      <w:r w:rsidRPr="00BE28C4">
        <w:rPr>
          <w:szCs w:val="22"/>
        </w:rPr>
        <w:noBreakHyphen/>
        <w:t>endorfiny z receptorami opioidowymi µ na neuronach POMC uruchamia pętlę ujemnego sprzężenia zwrotnego na neuronach POMC i prowadzi do zmniejszenia uwalniania α</w:t>
      </w:r>
      <w:r w:rsidRPr="00BE28C4">
        <w:rPr>
          <w:szCs w:val="22"/>
        </w:rPr>
        <w:noBreakHyphen/>
        <w:t xml:space="preserve">MSH. Wysunięto hipotezę, że blokowanie tej hamującej pętli sprzężenia zwrotnego przez </w:t>
      </w:r>
      <w:proofErr w:type="spellStart"/>
      <w:r w:rsidRPr="00BE28C4">
        <w:rPr>
          <w:szCs w:val="22"/>
        </w:rPr>
        <w:t>naltrekson</w:t>
      </w:r>
      <w:proofErr w:type="spellEnd"/>
      <w:r w:rsidRPr="00BE28C4">
        <w:rPr>
          <w:szCs w:val="22"/>
        </w:rPr>
        <w:t xml:space="preserve"> ułatwia silniejszą i dłużej trwającą aktywację neuronów POMC, wzmacniając tym samym wpływ </w:t>
      </w:r>
      <w:proofErr w:type="spellStart"/>
      <w:r w:rsidRPr="00BE28C4">
        <w:rPr>
          <w:szCs w:val="22"/>
        </w:rPr>
        <w:t>bupropionu</w:t>
      </w:r>
      <w:proofErr w:type="spellEnd"/>
      <w:r w:rsidRPr="00BE28C4">
        <w:rPr>
          <w:szCs w:val="22"/>
        </w:rPr>
        <w:t xml:space="preserve"> na bilans energetyczny. Dane z badań przedklinicznych sugerują, iż </w:t>
      </w:r>
      <w:proofErr w:type="spellStart"/>
      <w:r w:rsidRPr="00BE28C4">
        <w:rPr>
          <w:szCs w:val="22"/>
        </w:rPr>
        <w:t>naltrekson</w:t>
      </w:r>
      <w:proofErr w:type="spellEnd"/>
      <w:r w:rsidRPr="00BE28C4">
        <w:rPr>
          <w:szCs w:val="22"/>
        </w:rPr>
        <w:t xml:space="preserve"> i </w:t>
      </w:r>
      <w:proofErr w:type="spellStart"/>
      <w:r w:rsidRPr="00BE28C4">
        <w:rPr>
          <w:szCs w:val="22"/>
        </w:rPr>
        <w:t>bupropion</w:t>
      </w:r>
      <w:proofErr w:type="spellEnd"/>
      <w:r w:rsidRPr="00BE28C4">
        <w:rPr>
          <w:szCs w:val="22"/>
        </w:rPr>
        <w:t xml:space="preserve"> podawane w skojarzeniu mogą wywierać silniejsze niż addytywne działanie w tej okolicy mózgu, zmniejszając ilość spożywanego pokarmu.</w:t>
      </w:r>
    </w:p>
    <w:p w14:paraId="35A7D575" w14:textId="77777777" w:rsidR="004E3AC5" w:rsidRPr="00BE28C4" w:rsidRDefault="004E3AC5">
      <w:pPr>
        <w:spacing w:line="240" w:lineRule="auto"/>
        <w:outlineLvl w:val="0"/>
        <w:rPr>
          <w:szCs w:val="22"/>
        </w:rPr>
      </w:pPr>
    </w:p>
    <w:p w14:paraId="02B4C7FE" w14:textId="77777777" w:rsidR="004E3AC5" w:rsidRPr="00BE28C4" w:rsidRDefault="00907ADD">
      <w:pPr>
        <w:keepNext/>
        <w:autoSpaceDE w:val="0"/>
        <w:autoSpaceDN w:val="0"/>
        <w:adjustRightInd w:val="0"/>
        <w:spacing w:line="240" w:lineRule="auto"/>
        <w:rPr>
          <w:szCs w:val="22"/>
          <w:u w:val="single"/>
        </w:rPr>
      </w:pPr>
      <w:r w:rsidRPr="00BE28C4">
        <w:rPr>
          <w:szCs w:val="22"/>
          <w:u w:val="single"/>
        </w:rPr>
        <w:t xml:space="preserve">Skuteczność kliniczna i bezpieczeństwo stosowania </w:t>
      </w:r>
    </w:p>
    <w:p w14:paraId="6C69109F" w14:textId="77777777" w:rsidR="004E3AC5" w:rsidRPr="00BE28C4" w:rsidRDefault="00907ADD">
      <w:pPr>
        <w:autoSpaceDE w:val="0"/>
        <w:autoSpaceDN w:val="0"/>
        <w:adjustRightInd w:val="0"/>
        <w:spacing w:line="240" w:lineRule="auto"/>
        <w:rPr>
          <w:b/>
          <w:szCs w:val="22"/>
        </w:rPr>
      </w:pPr>
      <w:r w:rsidRPr="00BE28C4">
        <w:rPr>
          <w:szCs w:val="22"/>
        </w:rPr>
        <w:t xml:space="preserve">Wpływ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na redukcję masy ciała, utrzymanie masy ciała, obwód talii, skład ciała, związane z otyłością markery parametrów sercowo-naczyniowych i metabolicznych oraz parametry oceniane przez pacjentów oceniano w badaniach II i III fazy nad otyłością (zakres BMI: 27–45 kg/m</w:t>
      </w:r>
      <w:r w:rsidRPr="00BE28C4">
        <w:rPr>
          <w:szCs w:val="22"/>
          <w:vertAlign w:val="superscript"/>
        </w:rPr>
        <w:t>2</w:t>
      </w:r>
      <w:r w:rsidRPr="00BE28C4">
        <w:rPr>
          <w:szCs w:val="22"/>
        </w:rPr>
        <w:t xml:space="preserve">) prowadzonych metodą podwójnie ślepej próby z grupą kontrolną otrzymującą placebo, trwających od 16 do 56 tygodni, z losowym przydziałem do badanych grup otrzymujących chlorowodorek </w:t>
      </w:r>
      <w:proofErr w:type="spellStart"/>
      <w:r w:rsidRPr="00BE28C4">
        <w:rPr>
          <w:szCs w:val="22"/>
        </w:rPr>
        <w:t>naltreksonu</w:t>
      </w:r>
      <w:proofErr w:type="spellEnd"/>
      <w:r w:rsidRPr="00BE28C4">
        <w:rPr>
          <w:szCs w:val="22"/>
        </w:rPr>
        <w:t xml:space="preserve"> (zakres dawek: 16–50 mg/dobę) i/lub chlorowodorek </w:t>
      </w:r>
      <w:proofErr w:type="spellStart"/>
      <w:r w:rsidRPr="00BE28C4">
        <w:rPr>
          <w:szCs w:val="22"/>
        </w:rPr>
        <w:t>bupropionu</w:t>
      </w:r>
      <w:proofErr w:type="spellEnd"/>
      <w:r w:rsidRPr="00BE28C4">
        <w:rPr>
          <w:szCs w:val="22"/>
        </w:rPr>
        <w:t xml:space="preserve"> (zakres dawek: 300–400 mg/dobę) lub placebo. </w:t>
      </w:r>
    </w:p>
    <w:p w14:paraId="15AF8A32" w14:textId="77777777" w:rsidR="004E3AC5" w:rsidRPr="00BE28C4" w:rsidRDefault="004E3AC5">
      <w:pPr>
        <w:autoSpaceDE w:val="0"/>
        <w:autoSpaceDN w:val="0"/>
        <w:adjustRightInd w:val="0"/>
        <w:spacing w:line="240" w:lineRule="auto"/>
        <w:rPr>
          <w:i/>
          <w:szCs w:val="22"/>
        </w:rPr>
      </w:pPr>
    </w:p>
    <w:p w14:paraId="0A554FE6" w14:textId="77777777" w:rsidR="004E3AC5" w:rsidRPr="00BE28C4" w:rsidRDefault="00907ADD">
      <w:pPr>
        <w:autoSpaceDE w:val="0"/>
        <w:autoSpaceDN w:val="0"/>
        <w:adjustRightInd w:val="0"/>
        <w:spacing w:line="240" w:lineRule="auto"/>
        <w:rPr>
          <w:i/>
          <w:szCs w:val="22"/>
        </w:rPr>
      </w:pPr>
      <w:r w:rsidRPr="00BE28C4">
        <w:rPr>
          <w:i/>
          <w:szCs w:val="22"/>
        </w:rPr>
        <w:t xml:space="preserve">Wpływ na redukcję masy ciała i utrzymanie masy ciała </w:t>
      </w:r>
    </w:p>
    <w:p w14:paraId="05E6D2B8" w14:textId="77777777" w:rsidR="004E3AC5" w:rsidRPr="00BE28C4" w:rsidRDefault="00907ADD">
      <w:pPr>
        <w:autoSpaceDE w:val="0"/>
        <w:autoSpaceDN w:val="0"/>
        <w:adjustRightInd w:val="0"/>
        <w:spacing w:line="240" w:lineRule="auto"/>
        <w:rPr>
          <w:szCs w:val="22"/>
        </w:rPr>
      </w:pPr>
      <w:r w:rsidRPr="00BE28C4">
        <w:rPr>
          <w:szCs w:val="22"/>
        </w:rPr>
        <w:t>Przeprowadzono cztery wieloośrodkowe badania kliniczne III fazy nad otyłością z grupą kontrolną otrzymującą placebo i zastosowaniem podwójnie ślepej próby (badania: NB</w:t>
      </w:r>
      <w:r w:rsidRPr="00BE28C4">
        <w:rPr>
          <w:szCs w:val="22"/>
        </w:rPr>
        <w:noBreakHyphen/>
        <w:t>301, NB</w:t>
      </w:r>
      <w:r w:rsidRPr="00BE28C4">
        <w:rPr>
          <w:szCs w:val="22"/>
        </w:rPr>
        <w:noBreakHyphen/>
        <w:t>302, NB</w:t>
      </w:r>
      <w:r w:rsidRPr="00BE28C4">
        <w:rPr>
          <w:szCs w:val="22"/>
        </w:rPr>
        <w:noBreakHyphen/>
        <w:t>303 </w:t>
      </w:r>
      <w:r w:rsidRPr="00BE28C4">
        <w:rPr>
          <w:szCs w:val="22"/>
        </w:rPr>
        <w:br/>
        <w:t>i NB</w:t>
      </w:r>
      <w:r w:rsidRPr="00BE28C4">
        <w:rPr>
          <w:szCs w:val="22"/>
        </w:rPr>
        <w:noBreakHyphen/>
        <w:t xml:space="preserve">304) w celu oceny skutków stosowania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 połączeniu z modyfikacją stylu życia z udziałem łącznie 4536 pacjentów przydzielonych losowo do grup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i grup otrzymujących placebo. Leczenie rozpoczynała faza stopniowego zwiększania dawki. W trzech z tych badań (w badaniach: NB</w:t>
      </w:r>
      <w:r w:rsidRPr="00BE28C4">
        <w:rPr>
          <w:szCs w:val="22"/>
        </w:rPr>
        <w:noBreakHyphen/>
        <w:t>301, NB</w:t>
      </w:r>
      <w:r w:rsidRPr="00BE28C4">
        <w:rPr>
          <w:szCs w:val="22"/>
        </w:rPr>
        <w:noBreakHyphen/>
        <w:t>302 i NB</w:t>
      </w:r>
      <w:r w:rsidRPr="00BE28C4">
        <w:rPr>
          <w:szCs w:val="22"/>
        </w:rPr>
        <w:noBreakHyphen/>
        <w:t>304) ocena pierwszorzędowego punktu końcowego przypadała w 56. tygodniu badania, a w czwartym z nich (w badaniu NB</w:t>
      </w:r>
      <w:r w:rsidRPr="00BE28C4">
        <w:rPr>
          <w:szCs w:val="22"/>
        </w:rPr>
        <w:noBreakHyphen/>
        <w:t>303) — w 28. tygodniu, natomiast samo badanie trwało 56 tygodni. W badaniach NB</w:t>
      </w:r>
      <w:r w:rsidRPr="00BE28C4">
        <w:rPr>
          <w:szCs w:val="22"/>
        </w:rPr>
        <w:noBreakHyphen/>
        <w:t>301, NB</w:t>
      </w:r>
      <w:r w:rsidRPr="00BE28C4">
        <w:rPr>
          <w:szCs w:val="22"/>
        </w:rPr>
        <w:noBreakHyphen/>
        <w:t>303 i NB</w:t>
      </w:r>
      <w:r w:rsidRPr="00BE28C4">
        <w:rPr>
          <w:szCs w:val="22"/>
        </w:rPr>
        <w:noBreakHyphen/>
        <w:t xml:space="preserve">304 pacjenci otrzymywali okresowo ze </w:t>
      </w:r>
      <w:r w:rsidRPr="00BE28C4">
        <w:rPr>
          <w:szCs w:val="22"/>
        </w:rPr>
        <w:lastRenderedPageBreak/>
        <w:t>swoich ośrodków badawczych instrukcje dotyczące zmniejszania ilości spożywanych kalorii i zwiększania aktywności fizycznej, natomiast w badaniu NB</w:t>
      </w:r>
      <w:r w:rsidRPr="00BE28C4">
        <w:rPr>
          <w:szCs w:val="22"/>
        </w:rPr>
        <w:noBreakHyphen/>
        <w:t xml:space="preserve">302 prowadzony był intensywny program zmiany </w:t>
      </w:r>
      <w:proofErr w:type="spellStart"/>
      <w:r w:rsidRPr="00BE28C4">
        <w:rPr>
          <w:szCs w:val="22"/>
        </w:rPr>
        <w:t>zachowań</w:t>
      </w:r>
      <w:proofErr w:type="spellEnd"/>
      <w:r w:rsidRPr="00BE28C4">
        <w:rPr>
          <w:szCs w:val="22"/>
        </w:rPr>
        <w:t xml:space="preserve"> składający się z 28 sesji poradnictwa grupowego realizowanych w okresie 56 tygodni, a pacjenci byli zobowiązani stosować rygorystyczną dietę i program ćwiczeń fizycznych. W badaniu NB</w:t>
      </w:r>
      <w:r w:rsidRPr="00BE28C4">
        <w:rPr>
          <w:szCs w:val="22"/>
        </w:rPr>
        <w:noBreakHyphen/>
        <w:t xml:space="preserve">304 oceniano pacjentów z cukrzycą typu 2, u których pomimo jedynie stosowania doustnych leków hipoglikemizujących albo jedynie diety i aktywności fizycznej nie uzyskano celu </w:t>
      </w:r>
      <w:proofErr w:type="spellStart"/>
      <w:r w:rsidRPr="00BE28C4">
        <w:rPr>
          <w:szCs w:val="22"/>
        </w:rPr>
        <w:t>glikemicznego</w:t>
      </w:r>
      <w:proofErr w:type="spellEnd"/>
      <w:r w:rsidRPr="00BE28C4">
        <w:rPr>
          <w:szCs w:val="22"/>
        </w:rPr>
        <w:t xml:space="preserve"> w postaci obniżenia odsetka HbA1c poniżej wartości 7% (czyli 53 </w:t>
      </w:r>
      <w:proofErr w:type="spellStart"/>
      <w:r w:rsidRPr="00BE28C4">
        <w:rPr>
          <w:szCs w:val="22"/>
        </w:rPr>
        <w:t>mmol</w:t>
      </w:r>
      <w:proofErr w:type="spellEnd"/>
      <w:r w:rsidRPr="00BE28C4">
        <w:rPr>
          <w:szCs w:val="22"/>
        </w:rPr>
        <w:t>/mol). W badaniu NB</w:t>
      </w:r>
      <w:r w:rsidRPr="00BE28C4">
        <w:rPr>
          <w:szCs w:val="22"/>
        </w:rPr>
        <w:noBreakHyphen/>
        <w:t xml:space="preserve">303 dokonano ponownej randomizacji w warunkach ślepej próby i zwiększenia dawki </w:t>
      </w:r>
      <w:proofErr w:type="spellStart"/>
      <w:r w:rsidRPr="00BE28C4">
        <w:rPr>
          <w:szCs w:val="22"/>
        </w:rPr>
        <w:t>naltreksonu</w:t>
      </w:r>
      <w:proofErr w:type="spellEnd"/>
      <w:r w:rsidRPr="00BE28C4">
        <w:rPr>
          <w:szCs w:val="22"/>
        </w:rPr>
        <w:t xml:space="preserve"> (48 mg </w:t>
      </w:r>
      <w:proofErr w:type="spellStart"/>
      <w:r w:rsidRPr="00BE28C4">
        <w:rPr>
          <w:szCs w:val="22"/>
        </w:rPr>
        <w:t>naltreksonu</w:t>
      </w:r>
      <w:proofErr w:type="spellEnd"/>
      <w:r w:rsidRPr="00BE28C4">
        <w:rPr>
          <w:szCs w:val="22"/>
        </w:rPr>
        <w:t xml:space="preserve"> chlorowodorku + 360 mg </w:t>
      </w:r>
      <w:proofErr w:type="spellStart"/>
      <w:r w:rsidRPr="00BE28C4">
        <w:rPr>
          <w:szCs w:val="22"/>
        </w:rPr>
        <w:t>bupropionu</w:t>
      </w:r>
      <w:proofErr w:type="spellEnd"/>
      <w:r w:rsidRPr="00BE28C4">
        <w:rPr>
          <w:szCs w:val="22"/>
        </w:rPr>
        <w:t xml:space="preserve"> chlorowodorku) w 28 tygodniu badania u połowy kohorty pacjentów z grupy poddawanej aktywnemu leczeniu z niewystarczającą reakcją na zastosowane leczenie, tym samym oceniając w tygodniu 28 pierwszorzędowy punkt końcowy porównujący zmianę masy ciała w przypadku stosowania skojarzenia 32 mg </w:t>
      </w:r>
      <w:proofErr w:type="spellStart"/>
      <w:r w:rsidRPr="00BE28C4">
        <w:rPr>
          <w:szCs w:val="22"/>
        </w:rPr>
        <w:t>naltreksonu</w:t>
      </w:r>
      <w:proofErr w:type="spellEnd"/>
      <w:r w:rsidRPr="00BE28C4">
        <w:rPr>
          <w:szCs w:val="22"/>
        </w:rPr>
        <w:t xml:space="preserve"> chlorowodorku z 360 mg </w:t>
      </w:r>
      <w:proofErr w:type="spellStart"/>
      <w:r w:rsidRPr="00BE28C4">
        <w:rPr>
          <w:szCs w:val="22"/>
        </w:rPr>
        <w:t>bupropionu</w:t>
      </w:r>
      <w:proofErr w:type="spellEnd"/>
      <w:r w:rsidRPr="00BE28C4">
        <w:rPr>
          <w:szCs w:val="22"/>
        </w:rPr>
        <w:t xml:space="preserve"> chlorowodorku ze zmianą masy ciała w przypadku stosowania placebo.</w:t>
      </w:r>
    </w:p>
    <w:p w14:paraId="032E9E1C" w14:textId="77777777" w:rsidR="004E3AC5" w:rsidRPr="00BE28C4" w:rsidRDefault="004E3AC5">
      <w:pPr>
        <w:autoSpaceDE w:val="0"/>
        <w:autoSpaceDN w:val="0"/>
        <w:adjustRightInd w:val="0"/>
        <w:spacing w:line="240" w:lineRule="auto"/>
        <w:rPr>
          <w:szCs w:val="22"/>
        </w:rPr>
      </w:pPr>
    </w:p>
    <w:p w14:paraId="2E7453AB" w14:textId="77777777" w:rsidR="004E3AC5" w:rsidRPr="00BE28C4" w:rsidRDefault="00907ADD">
      <w:pPr>
        <w:autoSpaceDE w:val="0"/>
        <w:autoSpaceDN w:val="0"/>
        <w:adjustRightInd w:val="0"/>
        <w:spacing w:line="240" w:lineRule="auto"/>
        <w:rPr>
          <w:szCs w:val="22"/>
        </w:rPr>
      </w:pPr>
      <w:r w:rsidRPr="00BE28C4">
        <w:rPr>
          <w:szCs w:val="22"/>
        </w:rPr>
        <w:t xml:space="preserve">W łącznej populacji 4536 pacjentów biorących udział w badaniach III fazy dotyczących stosowania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w momencie włączania do badania u 25% pacjentów występowało nadciśnienie tętnicze, u 33% glikemia na czczo wynosiła co najmniej 100 mg/dl (5,6 </w:t>
      </w:r>
      <w:proofErr w:type="spellStart"/>
      <w:r w:rsidRPr="00BE28C4">
        <w:rPr>
          <w:szCs w:val="22"/>
        </w:rPr>
        <w:t>mmol</w:t>
      </w:r>
      <w:proofErr w:type="spellEnd"/>
      <w:r w:rsidRPr="00BE28C4">
        <w:rPr>
          <w:szCs w:val="22"/>
        </w:rPr>
        <w:t xml:space="preserve">/l), u 54% występowała </w:t>
      </w:r>
      <w:proofErr w:type="spellStart"/>
      <w:r w:rsidRPr="00BE28C4">
        <w:rPr>
          <w:szCs w:val="22"/>
        </w:rPr>
        <w:t>dyslipidemia</w:t>
      </w:r>
      <w:proofErr w:type="spellEnd"/>
      <w:r w:rsidRPr="00BE28C4">
        <w:rPr>
          <w:szCs w:val="22"/>
        </w:rPr>
        <w:t>, a u 11% — cukrzyca typu 2.</w:t>
      </w:r>
    </w:p>
    <w:p w14:paraId="3FBA8324" w14:textId="77777777" w:rsidR="004E3AC5" w:rsidRPr="00BE28C4" w:rsidRDefault="004E3AC5">
      <w:pPr>
        <w:autoSpaceDE w:val="0"/>
        <w:autoSpaceDN w:val="0"/>
        <w:adjustRightInd w:val="0"/>
        <w:spacing w:line="240" w:lineRule="auto"/>
        <w:rPr>
          <w:szCs w:val="22"/>
        </w:rPr>
      </w:pPr>
    </w:p>
    <w:p w14:paraId="7145D983" w14:textId="77777777" w:rsidR="004E3AC5" w:rsidRPr="00BE28C4" w:rsidRDefault="00907ADD">
      <w:pPr>
        <w:spacing w:line="240" w:lineRule="auto"/>
        <w:outlineLvl w:val="0"/>
        <w:rPr>
          <w:szCs w:val="22"/>
        </w:rPr>
      </w:pPr>
      <w:r w:rsidRPr="00BE28C4">
        <w:rPr>
          <w:szCs w:val="22"/>
          <w:cs/>
        </w:rPr>
        <w:t>‎Łącznie w badaniach III fazy średnia wieku wynosiła 46 lat, 83% pacjentów stanowiły kobiety, 77% — osoby rasy białej, 18% — os</w:t>
      </w:r>
      <w:r w:rsidRPr="00BE28C4">
        <w:rPr>
          <w:szCs w:val="22"/>
        </w:rPr>
        <w:t>oby rasy czarnej, a 5% — osoby innych ras. Wyjściowa średnia wartość BMI wynosiła 36 kg/m</w:t>
      </w:r>
      <w:r w:rsidRPr="00BE28C4">
        <w:rPr>
          <w:szCs w:val="22"/>
          <w:vertAlign w:val="superscript"/>
        </w:rPr>
        <w:t>2</w:t>
      </w:r>
      <w:r w:rsidRPr="00BE28C4">
        <w:rPr>
          <w:szCs w:val="22"/>
        </w:rPr>
        <w:t>, a średnia wartość obwodu talii — 110 cm. Dwoma równorzędnymi pierwszorzędowymi punktami końcowymi były: procentowa zmiana wyjściowej masy ciała oraz odsetek pacjentów uzyskujących co najmniej 5</w:t>
      </w:r>
      <w:r w:rsidRPr="00BE28C4">
        <w:rPr>
          <w:szCs w:val="22"/>
        </w:rPr>
        <w:noBreakHyphen/>
        <w:t>procentową całkowitą redukcję masy ciała. Podsumowania danych dotyczących średniej zmiany masy ciała odnoszą się do populacji ITT (</w:t>
      </w:r>
      <w:r w:rsidRPr="00BE28C4">
        <w:rPr>
          <w:bCs/>
          <w:kern w:val="36"/>
          <w:szCs w:val="22"/>
        </w:rPr>
        <w:t>analiza wyników w populacjach wyodrębnionych zgodnie z zaplanowanym leczeniem</w:t>
      </w:r>
      <w:r w:rsidRPr="00BE28C4">
        <w:rPr>
          <w:szCs w:val="22"/>
        </w:rPr>
        <w:t xml:space="preserve">, ang. </w:t>
      </w:r>
      <w:proofErr w:type="spellStart"/>
      <w:r w:rsidRPr="00BE28C4">
        <w:rPr>
          <w:i/>
          <w:szCs w:val="22"/>
        </w:rPr>
        <w:t>intent</w:t>
      </w:r>
      <w:proofErr w:type="spellEnd"/>
      <w:r w:rsidRPr="00BE28C4">
        <w:rPr>
          <w:i/>
          <w:szCs w:val="22"/>
        </w:rPr>
        <w:t>-to-</w:t>
      </w:r>
      <w:proofErr w:type="spellStart"/>
      <w:r w:rsidRPr="00BE28C4">
        <w:rPr>
          <w:i/>
          <w:szCs w:val="22"/>
        </w:rPr>
        <w:t>treat</w:t>
      </w:r>
      <w:proofErr w:type="spellEnd"/>
      <w:r w:rsidRPr="00BE28C4">
        <w:rPr>
          <w:i/>
          <w:szCs w:val="22"/>
        </w:rPr>
        <w:t xml:space="preserve"> </w:t>
      </w:r>
      <w:proofErr w:type="spellStart"/>
      <w:r w:rsidRPr="00BE28C4">
        <w:rPr>
          <w:i/>
          <w:szCs w:val="22"/>
        </w:rPr>
        <w:t>population</w:t>
      </w:r>
      <w:proofErr w:type="spellEnd"/>
      <w:r w:rsidRPr="00BE28C4">
        <w:rPr>
          <w:szCs w:val="22"/>
        </w:rPr>
        <w:t>) — którą stanowili wszyscy uczestnicy badania poddani randomizacji, u których wykonano pomiar wyjściowej masy ciała i przynajmniej jeden pomiar masy ciała w fazie leczenia — z uzupełnieniem brakujących wartości metodą LOCF (ang. </w:t>
      </w:r>
      <w:proofErr w:type="spellStart"/>
      <w:r w:rsidRPr="00BE28C4">
        <w:rPr>
          <w:i/>
          <w:szCs w:val="22"/>
        </w:rPr>
        <w:t>last</w:t>
      </w:r>
      <w:proofErr w:type="spellEnd"/>
      <w:r w:rsidRPr="00BE28C4">
        <w:rPr>
          <w:i/>
          <w:szCs w:val="22"/>
        </w:rPr>
        <w:t xml:space="preserve"> </w:t>
      </w:r>
      <w:proofErr w:type="spellStart"/>
      <w:r w:rsidRPr="00BE28C4">
        <w:rPr>
          <w:i/>
          <w:szCs w:val="22"/>
        </w:rPr>
        <w:t>observation</w:t>
      </w:r>
      <w:proofErr w:type="spellEnd"/>
      <w:r w:rsidRPr="00BE28C4">
        <w:rPr>
          <w:i/>
          <w:szCs w:val="22"/>
        </w:rPr>
        <w:t xml:space="preserve"> </w:t>
      </w:r>
      <w:proofErr w:type="spellStart"/>
      <w:r w:rsidRPr="00BE28C4">
        <w:rPr>
          <w:i/>
          <w:szCs w:val="22"/>
        </w:rPr>
        <w:t>carried</w:t>
      </w:r>
      <w:proofErr w:type="spellEnd"/>
      <w:r w:rsidRPr="00BE28C4">
        <w:rPr>
          <w:i/>
          <w:szCs w:val="22"/>
        </w:rPr>
        <w:t xml:space="preserve"> </w:t>
      </w:r>
      <w:proofErr w:type="spellStart"/>
      <w:r w:rsidRPr="00BE28C4">
        <w:rPr>
          <w:i/>
          <w:szCs w:val="22"/>
        </w:rPr>
        <w:t>forward</w:t>
      </w:r>
      <w:proofErr w:type="spellEnd"/>
      <w:r w:rsidRPr="00BE28C4">
        <w:rPr>
          <w:szCs w:val="22"/>
        </w:rPr>
        <w:t>, polegającą na zastąpieniu brakującej wartości danego parametru wartością poprzedzającą), a także dla populacji pacjentów, którzy ukończyli badane leczenie. Posumowania danych na temat odsetka pacjentów uzyskujących co najmniej 5</w:t>
      </w:r>
      <w:r w:rsidRPr="00BE28C4">
        <w:rPr>
          <w:szCs w:val="22"/>
        </w:rPr>
        <w:noBreakHyphen/>
        <w:t>procentową i co najmniej 10</w:t>
      </w:r>
      <w:r w:rsidRPr="00BE28C4">
        <w:rPr>
          <w:szCs w:val="22"/>
        </w:rPr>
        <w:noBreakHyphen/>
        <w:t>procentową redukcję masy ciała zostały sporządzone dla populacji wszystkich pacjentów poddanych randomizacji z uzupełnieniem brakujących wartości metodą BOCF (ang. </w:t>
      </w:r>
      <w:proofErr w:type="spellStart"/>
      <w:r w:rsidRPr="00BE28C4">
        <w:rPr>
          <w:i/>
          <w:szCs w:val="22"/>
        </w:rPr>
        <w:t>baseline</w:t>
      </w:r>
      <w:proofErr w:type="spellEnd"/>
      <w:r w:rsidRPr="00BE28C4">
        <w:rPr>
          <w:i/>
          <w:szCs w:val="22"/>
        </w:rPr>
        <w:t xml:space="preserve"> </w:t>
      </w:r>
      <w:proofErr w:type="spellStart"/>
      <w:r w:rsidRPr="00BE28C4">
        <w:rPr>
          <w:i/>
          <w:szCs w:val="22"/>
        </w:rPr>
        <w:t>observation</w:t>
      </w:r>
      <w:proofErr w:type="spellEnd"/>
      <w:r w:rsidRPr="00BE28C4">
        <w:rPr>
          <w:i/>
          <w:szCs w:val="22"/>
        </w:rPr>
        <w:t xml:space="preserve"> </w:t>
      </w:r>
      <w:proofErr w:type="spellStart"/>
      <w:r w:rsidRPr="00BE28C4">
        <w:rPr>
          <w:i/>
          <w:szCs w:val="22"/>
        </w:rPr>
        <w:t>carried</w:t>
      </w:r>
      <w:proofErr w:type="spellEnd"/>
      <w:r w:rsidRPr="00BE28C4">
        <w:rPr>
          <w:i/>
          <w:szCs w:val="22"/>
        </w:rPr>
        <w:t xml:space="preserve"> </w:t>
      </w:r>
      <w:proofErr w:type="spellStart"/>
      <w:r w:rsidRPr="00BE28C4">
        <w:rPr>
          <w:i/>
          <w:szCs w:val="22"/>
        </w:rPr>
        <w:t>forward</w:t>
      </w:r>
      <w:proofErr w:type="spellEnd"/>
      <w:r w:rsidRPr="00BE28C4">
        <w:rPr>
          <w:szCs w:val="22"/>
        </w:rPr>
        <w:t xml:space="preserve">; polegającą na zastąpieniu brakującej wartości danego parametru wartością wyjściową). Ogólnie rzecz biorąc, we wszystkich badaniach i we wszystkich badanych grupach </w:t>
      </w:r>
      <w:proofErr w:type="spellStart"/>
      <w:r w:rsidRPr="00BE28C4">
        <w:rPr>
          <w:szCs w:val="22"/>
        </w:rPr>
        <w:t>wkaźnik</w:t>
      </w:r>
      <w:proofErr w:type="spellEnd"/>
      <w:r w:rsidRPr="00BE28C4">
        <w:rPr>
          <w:szCs w:val="22"/>
        </w:rPr>
        <w:t xml:space="preserve"> adherencji był zbliżony. Dla wszystkich badań III fazy łącznie wartości wskaźnika adherencji były następujące: 67% dla NB </w:t>
      </w:r>
      <w:r w:rsidRPr="00BE28C4">
        <w:rPr>
          <w:szCs w:val="22"/>
        </w:rPr>
        <w:br/>
        <w:t xml:space="preserve">(NB -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i 74% dla placebo w 16. tygodniu, 63% dla NB i 65% dla placebo w 26. tygodniu oraz 55% dla NB i 55% dla placebo w 52. tygodniu.</w:t>
      </w:r>
    </w:p>
    <w:p w14:paraId="1FB663D6" w14:textId="77777777" w:rsidR="004E3AC5" w:rsidRPr="00BE28C4" w:rsidRDefault="004E3AC5">
      <w:pPr>
        <w:spacing w:line="240" w:lineRule="auto"/>
        <w:rPr>
          <w:szCs w:val="22"/>
        </w:rPr>
      </w:pPr>
    </w:p>
    <w:p w14:paraId="3320DC4A" w14:textId="77777777" w:rsidR="004E3AC5" w:rsidRPr="00BE28C4" w:rsidRDefault="00907ADD">
      <w:pPr>
        <w:spacing w:line="240" w:lineRule="auto"/>
        <w:rPr>
          <w:szCs w:val="22"/>
        </w:rPr>
      </w:pPr>
      <w:r w:rsidRPr="00BE28C4">
        <w:rPr>
          <w:szCs w:val="22"/>
        </w:rPr>
        <w:t>Jak wynika z tabeli 2, w badaniu NB</w:t>
      </w:r>
      <w:r w:rsidRPr="00BE28C4">
        <w:rPr>
          <w:szCs w:val="22"/>
        </w:rPr>
        <w:noBreakHyphen/>
        <w:t xml:space="preserve">301 średnia procentowa redukcja masy ciała wyniosła 5,4% w grupie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i 1,3% w grupie pacjentów otrzymujących placebo. Odsetek pacjentów, u których stwierdzono redukcję wyjściowej masy ciała o co najmniej 5%, był większy w przypadku stosowania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(31%) niż w przypadku stosowania placebo (12%) (tabela 3). Większą redukcję masy ciała stwierdzono w kohorcie pacjentów, którzy ukończyli 56 tygodni leczenia skojarzeniem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(8,1%) niż w grupie otrzymującej placebo (1,8%). Porównywalne wyniki uzyskano w podobnie skonstruowanym badaniu NB</w:t>
      </w:r>
      <w:r w:rsidRPr="00BE28C4">
        <w:rPr>
          <w:szCs w:val="22"/>
        </w:rPr>
        <w:noBreakHyphen/>
        <w:t xml:space="preserve">303 — na podstawie oceny pierwszorzędowego punktu końcowego dokonanej w 28. tygodniu tego badania stwierdzając znamiennie większą redukcję masy ciała u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niż u pacjentów otrzymujących placebo oraz utrzymanie uzyskanej redukcji masy ciała do końca badania, trwającego 56 tygodni (tabela 3).</w:t>
      </w:r>
    </w:p>
    <w:p w14:paraId="0EAFCAAB" w14:textId="77777777" w:rsidR="004E3AC5" w:rsidRPr="00BE28C4" w:rsidRDefault="004E3AC5">
      <w:pPr>
        <w:autoSpaceDE w:val="0"/>
        <w:autoSpaceDN w:val="0"/>
        <w:adjustRightInd w:val="0"/>
        <w:spacing w:line="240" w:lineRule="auto"/>
        <w:rPr>
          <w:szCs w:val="22"/>
        </w:rPr>
      </w:pPr>
    </w:p>
    <w:p w14:paraId="08FEB60D" w14:textId="77777777" w:rsidR="004E3AC5" w:rsidRPr="00BE28C4" w:rsidRDefault="00907ADD">
      <w:pPr>
        <w:autoSpaceDE w:val="0"/>
        <w:autoSpaceDN w:val="0"/>
        <w:adjustRightInd w:val="0"/>
        <w:spacing w:line="240" w:lineRule="auto"/>
        <w:rPr>
          <w:szCs w:val="22"/>
        </w:rPr>
      </w:pPr>
      <w:r w:rsidRPr="00BE28C4">
        <w:rPr>
          <w:szCs w:val="22"/>
        </w:rPr>
        <w:t xml:space="preserve">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oceniano też stosując je w skojarzeniu z intensywnym programem zmiany </w:t>
      </w:r>
      <w:proofErr w:type="spellStart"/>
      <w:r w:rsidRPr="00BE28C4">
        <w:rPr>
          <w:szCs w:val="22"/>
        </w:rPr>
        <w:t>zachowań</w:t>
      </w:r>
      <w:proofErr w:type="spellEnd"/>
      <w:r w:rsidRPr="00BE28C4">
        <w:rPr>
          <w:szCs w:val="22"/>
        </w:rPr>
        <w:t xml:space="preserve"> (badanie NB</w:t>
      </w:r>
      <w:r w:rsidRPr="00BE28C4">
        <w:rPr>
          <w:szCs w:val="22"/>
        </w:rPr>
        <w:noBreakHyphen/>
        <w:t>302). W badaniu tym stwierdzono większą niż w badaniu NB</w:t>
      </w:r>
      <w:r w:rsidRPr="00BE28C4">
        <w:rPr>
          <w:szCs w:val="22"/>
        </w:rPr>
        <w:noBreakHyphen/>
        <w:t xml:space="preserve">301 redukcję średniej wyjściowej masy ciała zarówno w przypadku 56-tygodniowego stosowania </w:t>
      </w:r>
      <w:r w:rsidRPr="00BE28C4">
        <w:rPr>
          <w:szCs w:val="22"/>
        </w:rPr>
        <w:lastRenderedPageBreak/>
        <w:t xml:space="preserve">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(8,1% wobec 5,4% w badaniu NB</w:t>
      </w:r>
      <w:r w:rsidRPr="00BE28C4">
        <w:rPr>
          <w:szCs w:val="22"/>
        </w:rPr>
        <w:noBreakHyphen/>
        <w:t>301), jak i w przypadku stosowania placebo (4,9% wobec 1,3% w badaniu NB</w:t>
      </w:r>
      <w:r w:rsidRPr="00BE28C4">
        <w:rPr>
          <w:szCs w:val="22"/>
        </w:rPr>
        <w:noBreakHyphen/>
        <w:t>301).</w:t>
      </w:r>
    </w:p>
    <w:p w14:paraId="2E9ABF7B" w14:textId="77777777" w:rsidR="004E3AC5" w:rsidRPr="00BE28C4" w:rsidRDefault="004E3AC5">
      <w:pPr>
        <w:autoSpaceDE w:val="0"/>
        <w:autoSpaceDN w:val="0"/>
        <w:adjustRightInd w:val="0"/>
        <w:spacing w:line="240" w:lineRule="auto"/>
        <w:rPr>
          <w:szCs w:val="22"/>
        </w:rPr>
      </w:pPr>
    </w:p>
    <w:p w14:paraId="01B0925A" w14:textId="77777777" w:rsidR="004E3AC5" w:rsidRPr="00BE28C4" w:rsidRDefault="00907ADD">
      <w:pPr>
        <w:autoSpaceDE w:val="0"/>
        <w:autoSpaceDN w:val="0"/>
        <w:adjustRightInd w:val="0"/>
        <w:spacing w:line="240" w:lineRule="auto"/>
        <w:rPr>
          <w:szCs w:val="22"/>
        </w:rPr>
      </w:pPr>
      <w:r w:rsidRPr="00BE28C4">
        <w:rPr>
          <w:szCs w:val="22"/>
        </w:rPr>
        <w:t>Efekty leczenia obserwowane u pacjentów z otyłością lub nadwagą oraz cukrzycą typu 2 (badanie NB</w:t>
      </w:r>
      <w:r w:rsidRPr="00BE28C4">
        <w:rPr>
          <w:szCs w:val="22"/>
        </w:rPr>
        <w:noBreakHyphen/>
        <w:t xml:space="preserve">304) były nieco słabiej wyrażone niż w pozostałych badaniach III fazy. W tej populacji pacjentów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okazało się znamiennie bardziej skuteczne niż placebo (redukcja wyjściowej masy ciała o odpowiednio 3,7% i 1,7%, p &lt; 0,001).</w:t>
      </w:r>
    </w:p>
    <w:p w14:paraId="6DEB30CD" w14:textId="77777777" w:rsidR="004E3AC5" w:rsidRPr="00BE28C4" w:rsidRDefault="004E3AC5">
      <w:pPr>
        <w:autoSpaceDE w:val="0"/>
        <w:autoSpaceDN w:val="0"/>
        <w:adjustRightInd w:val="0"/>
        <w:spacing w:line="240" w:lineRule="auto"/>
        <w:rPr>
          <w:szCs w:val="22"/>
        </w:rPr>
      </w:pPr>
    </w:p>
    <w:p w14:paraId="72BC2BD2" w14:textId="77777777" w:rsidR="004E3AC5" w:rsidRPr="00BE28C4" w:rsidRDefault="00907ADD">
      <w:pPr>
        <w:keepNext/>
        <w:spacing w:line="240" w:lineRule="auto"/>
        <w:rPr>
          <w:b/>
          <w:szCs w:val="22"/>
        </w:rPr>
      </w:pPr>
      <w:r w:rsidRPr="00BE28C4">
        <w:rPr>
          <w:b/>
          <w:szCs w:val="22"/>
        </w:rPr>
        <w:lastRenderedPageBreak/>
        <w:t xml:space="preserve">Tabela 3. Średnia redukcja wyjściowej masy ciała (wyrażona w %) w badaniach III fazy dotyczących stosowania skojarzenia </w:t>
      </w:r>
      <w:proofErr w:type="spellStart"/>
      <w:r w:rsidRPr="00BE28C4">
        <w:rPr>
          <w:b/>
          <w:szCs w:val="22"/>
        </w:rPr>
        <w:t>naltrekson</w:t>
      </w:r>
      <w:proofErr w:type="spellEnd"/>
      <w:r w:rsidRPr="00BE28C4">
        <w:rPr>
          <w:b/>
          <w:szCs w:val="22"/>
        </w:rPr>
        <w:t xml:space="preserve"> + </w:t>
      </w:r>
      <w:proofErr w:type="spellStart"/>
      <w:r w:rsidRPr="00BE28C4">
        <w:rPr>
          <w:b/>
          <w:szCs w:val="22"/>
        </w:rPr>
        <w:t>bupropion</w:t>
      </w:r>
      <w:proofErr w:type="spellEnd"/>
      <w:r w:rsidRPr="00BE28C4">
        <w:rPr>
          <w:b/>
          <w:szCs w:val="22"/>
        </w:rPr>
        <w:t xml:space="preserve"> (NB) — stwierdzona w 56. tygodniu badań NB</w:t>
      </w:r>
      <w:r w:rsidRPr="00BE28C4">
        <w:rPr>
          <w:b/>
          <w:szCs w:val="22"/>
        </w:rPr>
        <w:noBreakHyphen/>
        <w:t>301, NB</w:t>
      </w:r>
      <w:r w:rsidRPr="00BE28C4">
        <w:rPr>
          <w:b/>
          <w:szCs w:val="22"/>
        </w:rPr>
        <w:noBreakHyphen/>
        <w:t>302 i NB</w:t>
      </w:r>
      <w:r w:rsidRPr="00BE28C4">
        <w:rPr>
          <w:b/>
          <w:szCs w:val="22"/>
        </w:rPr>
        <w:noBreakHyphen/>
        <w:t>304 oraz w 28. tygodniu badania NB</w:t>
      </w:r>
      <w:r w:rsidRPr="00BE28C4">
        <w:rPr>
          <w:b/>
          <w:szCs w:val="22"/>
        </w:rPr>
        <w:noBreakHyphen/>
        <w:t>303 </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37"/>
        <w:gridCol w:w="1001"/>
        <w:gridCol w:w="991"/>
        <w:gridCol w:w="998"/>
        <w:gridCol w:w="991"/>
        <w:gridCol w:w="998"/>
        <w:gridCol w:w="989"/>
        <w:gridCol w:w="963"/>
      </w:tblGrid>
      <w:tr w:rsidR="004E3AC5" w:rsidRPr="00BE28C4" w14:paraId="1D9D0C94" w14:textId="77777777">
        <w:trPr>
          <w:trHeight w:val="152"/>
        </w:trPr>
        <w:tc>
          <w:tcPr>
            <w:tcW w:w="1526" w:type="dxa"/>
            <w:vAlign w:val="center"/>
          </w:tcPr>
          <w:p w14:paraId="37EA1817" w14:textId="77777777" w:rsidR="004E3AC5" w:rsidRPr="00BE28C4" w:rsidRDefault="004E3AC5">
            <w:pPr>
              <w:keepNext/>
              <w:autoSpaceDE w:val="0"/>
              <w:autoSpaceDN w:val="0"/>
              <w:adjustRightInd w:val="0"/>
              <w:spacing w:line="240" w:lineRule="auto"/>
              <w:rPr>
                <w:szCs w:val="22"/>
              </w:rPr>
            </w:pPr>
          </w:p>
        </w:tc>
        <w:tc>
          <w:tcPr>
            <w:tcW w:w="5816" w:type="dxa"/>
            <w:gridSpan w:val="6"/>
            <w:vAlign w:val="center"/>
          </w:tcPr>
          <w:p w14:paraId="2AAB0D7D" w14:textId="77777777" w:rsidR="004E3AC5" w:rsidRPr="00BE28C4" w:rsidRDefault="00907ADD">
            <w:pPr>
              <w:keepNext/>
              <w:autoSpaceDE w:val="0"/>
              <w:autoSpaceDN w:val="0"/>
              <w:adjustRightInd w:val="0"/>
              <w:spacing w:line="240" w:lineRule="auto"/>
              <w:jc w:val="center"/>
              <w:rPr>
                <w:b/>
                <w:szCs w:val="22"/>
              </w:rPr>
            </w:pPr>
            <w:r w:rsidRPr="00BE28C4">
              <w:rPr>
                <w:b/>
                <w:szCs w:val="22"/>
              </w:rPr>
              <w:t>56. tydzień badania</w:t>
            </w:r>
          </w:p>
        </w:tc>
        <w:tc>
          <w:tcPr>
            <w:tcW w:w="1952" w:type="dxa"/>
            <w:gridSpan w:val="2"/>
            <w:vAlign w:val="center"/>
          </w:tcPr>
          <w:p w14:paraId="7F3133CC" w14:textId="77777777" w:rsidR="004E3AC5" w:rsidRPr="00BE28C4" w:rsidRDefault="00907ADD">
            <w:pPr>
              <w:keepNext/>
              <w:autoSpaceDE w:val="0"/>
              <w:autoSpaceDN w:val="0"/>
              <w:adjustRightInd w:val="0"/>
              <w:spacing w:line="240" w:lineRule="auto"/>
              <w:jc w:val="center"/>
              <w:rPr>
                <w:b/>
                <w:szCs w:val="22"/>
              </w:rPr>
            </w:pPr>
            <w:r w:rsidRPr="00BE28C4">
              <w:rPr>
                <w:b/>
                <w:szCs w:val="22"/>
              </w:rPr>
              <w:t>28. tydzień badania</w:t>
            </w:r>
          </w:p>
        </w:tc>
      </w:tr>
      <w:tr w:rsidR="004E3AC5" w:rsidRPr="00BE28C4" w14:paraId="27EA3553" w14:textId="77777777">
        <w:trPr>
          <w:trHeight w:val="152"/>
        </w:trPr>
        <w:tc>
          <w:tcPr>
            <w:tcW w:w="1526" w:type="dxa"/>
            <w:vMerge w:val="restart"/>
            <w:vAlign w:val="center"/>
          </w:tcPr>
          <w:p w14:paraId="2CF839CC" w14:textId="77777777" w:rsidR="004E3AC5" w:rsidRPr="00BE28C4" w:rsidRDefault="004E3AC5">
            <w:pPr>
              <w:keepNext/>
              <w:autoSpaceDE w:val="0"/>
              <w:autoSpaceDN w:val="0"/>
              <w:adjustRightInd w:val="0"/>
              <w:spacing w:line="240" w:lineRule="auto"/>
              <w:rPr>
                <w:szCs w:val="22"/>
              </w:rPr>
            </w:pPr>
          </w:p>
        </w:tc>
        <w:tc>
          <w:tcPr>
            <w:tcW w:w="1838" w:type="dxa"/>
            <w:gridSpan w:val="2"/>
            <w:vAlign w:val="center"/>
          </w:tcPr>
          <w:p w14:paraId="49CE0B25" w14:textId="77777777" w:rsidR="004E3AC5" w:rsidRPr="00BE28C4" w:rsidRDefault="00907ADD">
            <w:pPr>
              <w:keepNext/>
              <w:autoSpaceDE w:val="0"/>
              <w:autoSpaceDN w:val="0"/>
              <w:adjustRightInd w:val="0"/>
              <w:spacing w:line="240" w:lineRule="auto"/>
              <w:jc w:val="center"/>
              <w:rPr>
                <w:b/>
                <w:szCs w:val="22"/>
              </w:rPr>
            </w:pPr>
            <w:r w:rsidRPr="00BE28C4">
              <w:rPr>
                <w:b/>
                <w:szCs w:val="22"/>
              </w:rPr>
              <w:t>Badanie</w:t>
            </w:r>
            <w:r w:rsidRPr="00BE28C4">
              <w:rPr>
                <w:b/>
                <w:szCs w:val="22"/>
              </w:rPr>
              <w:br/>
              <w:t>NB</w:t>
            </w:r>
            <w:r w:rsidRPr="00BE28C4">
              <w:rPr>
                <w:szCs w:val="22"/>
              </w:rPr>
              <w:noBreakHyphen/>
            </w:r>
            <w:r w:rsidRPr="00BE28C4">
              <w:rPr>
                <w:b/>
                <w:szCs w:val="22"/>
              </w:rPr>
              <w:t>301</w:t>
            </w:r>
          </w:p>
        </w:tc>
        <w:tc>
          <w:tcPr>
            <w:tcW w:w="1989" w:type="dxa"/>
            <w:gridSpan w:val="2"/>
            <w:vAlign w:val="center"/>
          </w:tcPr>
          <w:p w14:paraId="008E6196" w14:textId="77777777" w:rsidR="004E3AC5" w:rsidRPr="00BE28C4" w:rsidRDefault="00907ADD">
            <w:pPr>
              <w:keepNext/>
              <w:autoSpaceDE w:val="0"/>
              <w:autoSpaceDN w:val="0"/>
              <w:adjustRightInd w:val="0"/>
              <w:spacing w:line="240" w:lineRule="auto"/>
              <w:jc w:val="center"/>
              <w:rPr>
                <w:b/>
                <w:szCs w:val="22"/>
              </w:rPr>
            </w:pPr>
            <w:r w:rsidRPr="00BE28C4">
              <w:rPr>
                <w:b/>
                <w:szCs w:val="22"/>
              </w:rPr>
              <w:t>Badanie</w:t>
            </w:r>
            <w:r w:rsidRPr="00BE28C4">
              <w:rPr>
                <w:b/>
                <w:szCs w:val="22"/>
              </w:rPr>
              <w:br/>
              <w:t>NB</w:t>
            </w:r>
            <w:r w:rsidRPr="00BE28C4">
              <w:rPr>
                <w:szCs w:val="22"/>
              </w:rPr>
              <w:noBreakHyphen/>
            </w:r>
            <w:r w:rsidRPr="00BE28C4">
              <w:rPr>
                <w:b/>
                <w:szCs w:val="22"/>
              </w:rPr>
              <w:t>302</w:t>
            </w:r>
          </w:p>
        </w:tc>
        <w:tc>
          <w:tcPr>
            <w:tcW w:w="1989" w:type="dxa"/>
            <w:gridSpan w:val="2"/>
            <w:vAlign w:val="center"/>
          </w:tcPr>
          <w:p w14:paraId="7142747B" w14:textId="77777777" w:rsidR="004E3AC5" w:rsidRPr="00BE28C4" w:rsidRDefault="00907ADD">
            <w:pPr>
              <w:keepNext/>
              <w:autoSpaceDE w:val="0"/>
              <w:autoSpaceDN w:val="0"/>
              <w:adjustRightInd w:val="0"/>
              <w:spacing w:line="240" w:lineRule="auto"/>
              <w:jc w:val="center"/>
              <w:rPr>
                <w:b/>
                <w:szCs w:val="22"/>
              </w:rPr>
            </w:pPr>
            <w:r w:rsidRPr="00BE28C4">
              <w:rPr>
                <w:b/>
                <w:szCs w:val="22"/>
              </w:rPr>
              <w:t>Badanie</w:t>
            </w:r>
            <w:r w:rsidRPr="00BE28C4">
              <w:rPr>
                <w:b/>
                <w:szCs w:val="22"/>
              </w:rPr>
              <w:br/>
              <w:t>NB</w:t>
            </w:r>
            <w:r w:rsidRPr="00BE28C4">
              <w:rPr>
                <w:szCs w:val="22"/>
              </w:rPr>
              <w:noBreakHyphen/>
            </w:r>
            <w:r w:rsidRPr="00BE28C4">
              <w:rPr>
                <w:b/>
                <w:szCs w:val="22"/>
              </w:rPr>
              <w:t>304</w:t>
            </w:r>
          </w:p>
        </w:tc>
        <w:tc>
          <w:tcPr>
            <w:tcW w:w="1952" w:type="dxa"/>
            <w:gridSpan w:val="2"/>
            <w:vAlign w:val="center"/>
          </w:tcPr>
          <w:p w14:paraId="1D7B8D58" w14:textId="77777777" w:rsidR="004E3AC5" w:rsidRPr="00BE28C4" w:rsidRDefault="00907ADD">
            <w:pPr>
              <w:keepNext/>
              <w:autoSpaceDE w:val="0"/>
              <w:autoSpaceDN w:val="0"/>
              <w:adjustRightInd w:val="0"/>
              <w:spacing w:line="240" w:lineRule="auto"/>
              <w:jc w:val="center"/>
              <w:rPr>
                <w:b/>
                <w:szCs w:val="22"/>
              </w:rPr>
            </w:pPr>
            <w:r w:rsidRPr="00BE28C4">
              <w:rPr>
                <w:b/>
                <w:szCs w:val="22"/>
              </w:rPr>
              <w:t>Badanie</w:t>
            </w:r>
            <w:r w:rsidRPr="00BE28C4">
              <w:rPr>
                <w:b/>
                <w:szCs w:val="22"/>
              </w:rPr>
              <w:br/>
              <w:t>NB</w:t>
            </w:r>
            <w:r w:rsidRPr="00BE28C4">
              <w:rPr>
                <w:szCs w:val="22"/>
              </w:rPr>
              <w:noBreakHyphen/>
            </w:r>
            <w:r w:rsidRPr="00BE28C4">
              <w:rPr>
                <w:b/>
                <w:szCs w:val="22"/>
              </w:rPr>
              <w:t>303</w:t>
            </w:r>
          </w:p>
        </w:tc>
      </w:tr>
      <w:tr w:rsidR="004E3AC5" w:rsidRPr="00BE28C4" w14:paraId="3A32485F" w14:textId="77777777">
        <w:trPr>
          <w:trHeight w:val="87"/>
        </w:trPr>
        <w:tc>
          <w:tcPr>
            <w:tcW w:w="1526" w:type="dxa"/>
            <w:vMerge/>
            <w:tcBorders>
              <w:bottom w:val="single" w:sz="4" w:space="0" w:color="auto"/>
            </w:tcBorders>
            <w:vAlign w:val="center"/>
          </w:tcPr>
          <w:p w14:paraId="5F0C6826" w14:textId="77777777" w:rsidR="004E3AC5" w:rsidRPr="00BE28C4" w:rsidRDefault="004E3AC5">
            <w:pPr>
              <w:keepNext/>
              <w:autoSpaceDE w:val="0"/>
              <w:autoSpaceDN w:val="0"/>
              <w:adjustRightInd w:val="0"/>
              <w:spacing w:line="240" w:lineRule="auto"/>
              <w:rPr>
                <w:szCs w:val="22"/>
              </w:rPr>
            </w:pPr>
          </w:p>
        </w:tc>
        <w:tc>
          <w:tcPr>
            <w:tcW w:w="837" w:type="dxa"/>
            <w:tcBorders>
              <w:bottom w:val="single" w:sz="4" w:space="0" w:color="auto"/>
            </w:tcBorders>
            <w:vAlign w:val="center"/>
          </w:tcPr>
          <w:p w14:paraId="7A046014" w14:textId="77777777" w:rsidR="004E3AC5" w:rsidRPr="00BE28C4" w:rsidRDefault="00907ADD">
            <w:pPr>
              <w:keepNext/>
              <w:autoSpaceDE w:val="0"/>
              <w:autoSpaceDN w:val="0"/>
              <w:adjustRightInd w:val="0"/>
              <w:spacing w:line="240" w:lineRule="auto"/>
              <w:jc w:val="center"/>
              <w:rPr>
                <w:b/>
                <w:szCs w:val="22"/>
              </w:rPr>
            </w:pPr>
            <w:r w:rsidRPr="00BE28C4">
              <w:rPr>
                <w:b/>
                <w:szCs w:val="22"/>
              </w:rPr>
              <w:t>NB</w:t>
            </w:r>
          </w:p>
        </w:tc>
        <w:tc>
          <w:tcPr>
            <w:tcW w:w="1001" w:type="dxa"/>
            <w:tcBorders>
              <w:bottom w:val="single" w:sz="4" w:space="0" w:color="auto"/>
            </w:tcBorders>
            <w:vAlign w:val="center"/>
          </w:tcPr>
          <w:p w14:paraId="14E6DD26" w14:textId="77777777" w:rsidR="004E3AC5" w:rsidRPr="00BE28C4" w:rsidRDefault="00907ADD">
            <w:pPr>
              <w:keepNext/>
              <w:autoSpaceDE w:val="0"/>
              <w:autoSpaceDN w:val="0"/>
              <w:adjustRightInd w:val="0"/>
              <w:spacing w:line="240" w:lineRule="auto"/>
              <w:jc w:val="center"/>
              <w:rPr>
                <w:b/>
                <w:szCs w:val="22"/>
              </w:rPr>
            </w:pPr>
            <w:r w:rsidRPr="00BE28C4">
              <w:rPr>
                <w:b/>
                <w:szCs w:val="22"/>
              </w:rPr>
              <w:t>PBO</w:t>
            </w:r>
          </w:p>
        </w:tc>
        <w:tc>
          <w:tcPr>
            <w:tcW w:w="991" w:type="dxa"/>
            <w:tcBorders>
              <w:bottom w:val="single" w:sz="4" w:space="0" w:color="auto"/>
            </w:tcBorders>
            <w:vAlign w:val="center"/>
          </w:tcPr>
          <w:p w14:paraId="77BEB446" w14:textId="77777777" w:rsidR="004E3AC5" w:rsidRPr="00BE28C4" w:rsidRDefault="00907ADD">
            <w:pPr>
              <w:keepNext/>
              <w:autoSpaceDE w:val="0"/>
              <w:autoSpaceDN w:val="0"/>
              <w:adjustRightInd w:val="0"/>
              <w:spacing w:line="240" w:lineRule="auto"/>
              <w:jc w:val="center"/>
              <w:rPr>
                <w:b/>
                <w:szCs w:val="22"/>
              </w:rPr>
            </w:pPr>
            <w:r w:rsidRPr="00BE28C4">
              <w:rPr>
                <w:b/>
                <w:szCs w:val="22"/>
              </w:rPr>
              <w:t>NB</w:t>
            </w:r>
          </w:p>
        </w:tc>
        <w:tc>
          <w:tcPr>
            <w:tcW w:w="998" w:type="dxa"/>
            <w:tcBorders>
              <w:bottom w:val="single" w:sz="4" w:space="0" w:color="auto"/>
            </w:tcBorders>
            <w:vAlign w:val="center"/>
          </w:tcPr>
          <w:p w14:paraId="6A16C77B" w14:textId="77777777" w:rsidR="004E3AC5" w:rsidRPr="00BE28C4" w:rsidRDefault="00907ADD">
            <w:pPr>
              <w:keepNext/>
              <w:autoSpaceDE w:val="0"/>
              <w:autoSpaceDN w:val="0"/>
              <w:adjustRightInd w:val="0"/>
              <w:spacing w:line="240" w:lineRule="auto"/>
              <w:jc w:val="center"/>
              <w:rPr>
                <w:b/>
                <w:szCs w:val="22"/>
              </w:rPr>
            </w:pPr>
            <w:r w:rsidRPr="00BE28C4">
              <w:rPr>
                <w:b/>
                <w:szCs w:val="22"/>
              </w:rPr>
              <w:t>PBO</w:t>
            </w:r>
          </w:p>
        </w:tc>
        <w:tc>
          <w:tcPr>
            <w:tcW w:w="991" w:type="dxa"/>
            <w:tcBorders>
              <w:bottom w:val="single" w:sz="4" w:space="0" w:color="auto"/>
            </w:tcBorders>
            <w:vAlign w:val="center"/>
          </w:tcPr>
          <w:p w14:paraId="06EFA2D0" w14:textId="77777777" w:rsidR="004E3AC5" w:rsidRPr="00BE28C4" w:rsidRDefault="00907ADD">
            <w:pPr>
              <w:keepNext/>
              <w:autoSpaceDE w:val="0"/>
              <w:autoSpaceDN w:val="0"/>
              <w:adjustRightInd w:val="0"/>
              <w:spacing w:line="240" w:lineRule="auto"/>
              <w:jc w:val="center"/>
              <w:rPr>
                <w:b/>
                <w:szCs w:val="22"/>
              </w:rPr>
            </w:pPr>
            <w:r w:rsidRPr="00BE28C4">
              <w:rPr>
                <w:b/>
                <w:szCs w:val="22"/>
              </w:rPr>
              <w:t>NB</w:t>
            </w:r>
          </w:p>
        </w:tc>
        <w:tc>
          <w:tcPr>
            <w:tcW w:w="998" w:type="dxa"/>
            <w:tcBorders>
              <w:bottom w:val="single" w:sz="4" w:space="0" w:color="auto"/>
            </w:tcBorders>
            <w:vAlign w:val="center"/>
          </w:tcPr>
          <w:p w14:paraId="3245B2F8" w14:textId="77777777" w:rsidR="004E3AC5" w:rsidRPr="00BE28C4" w:rsidRDefault="00907ADD">
            <w:pPr>
              <w:keepNext/>
              <w:autoSpaceDE w:val="0"/>
              <w:autoSpaceDN w:val="0"/>
              <w:adjustRightInd w:val="0"/>
              <w:spacing w:line="240" w:lineRule="auto"/>
              <w:jc w:val="center"/>
              <w:rPr>
                <w:b/>
                <w:szCs w:val="22"/>
              </w:rPr>
            </w:pPr>
            <w:r w:rsidRPr="00BE28C4">
              <w:rPr>
                <w:b/>
                <w:szCs w:val="22"/>
              </w:rPr>
              <w:t>PBO</w:t>
            </w:r>
          </w:p>
        </w:tc>
        <w:tc>
          <w:tcPr>
            <w:tcW w:w="989" w:type="dxa"/>
            <w:tcBorders>
              <w:bottom w:val="single" w:sz="4" w:space="0" w:color="auto"/>
            </w:tcBorders>
            <w:vAlign w:val="center"/>
          </w:tcPr>
          <w:p w14:paraId="36EFB0C8" w14:textId="77777777" w:rsidR="004E3AC5" w:rsidRPr="00BE28C4" w:rsidRDefault="00907ADD">
            <w:pPr>
              <w:keepNext/>
              <w:autoSpaceDE w:val="0"/>
              <w:autoSpaceDN w:val="0"/>
              <w:adjustRightInd w:val="0"/>
              <w:spacing w:line="240" w:lineRule="auto"/>
              <w:jc w:val="center"/>
              <w:rPr>
                <w:b/>
                <w:szCs w:val="22"/>
              </w:rPr>
            </w:pPr>
            <w:r w:rsidRPr="00BE28C4">
              <w:rPr>
                <w:b/>
                <w:szCs w:val="22"/>
              </w:rPr>
              <w:t>NB</w:t>
            </w:r>
          </w:p>
        </w:tc>
        <w:tc>
          <w:tcPr>
            <w:tcW w:w="963" w:type="dxa"/>
            <w:tcBorders>
              <w:bottom w:val="single" w:sz="4" w:space="0" w:color="auto"/>
            </w:tcBorders>
            <w:vAlign w:val="center"/>
          </w:tcPr>
          <w:p w14:paraId="245DB695" w14:textId="77777777" w:rsidR="004E3AC5" w:rsidRPr="00BE28C4" w:rsidRDefault="00907ADD">
            <w:pPr>
              <w:keepNext/>
              <w:autoSpaceDE w:val="0"/>
              <w:autoSpaceDN w:val="0"/>
              <w:adjustRightInd w:val="0"/>
              <w:spacing w:line="240" w:lineRule="auto"/>
              <w:jc w:val="center"/>
              <w:rPr>
                <w:b/>
                <w:szCs w:val="22"/>
              </w:rPr>
            </w:pPr>
            <w:r w:rsidRPr="00BE28C4">
              <w:rPr>
                <w:b/>
                <w:szCs w:val="22"/>
              </w:rPr>
              <w:t>PBO</w:t>
            </w:r>
          </w:p>
        </w:tc>
      </w:tr>
      <w:tr w:rsidR="004E3AC5" w:rsidRPr="00BE28C4" w14:paraId="023C6FD8" w14:textId="77777777">
        <w:trPr>
          <w:trHeight w:val="152"/>
        </w:trPr>
        <w:tc>
          <w:tcPr>
            <w:tcW w:w="9294" w:type="dxa"/>
            <w:gridSpan w:val="9"/>
            <w:tcBorders>
              <w:top w:val="single" w:sz="4" w:space="0" w:color="auto"/>
            </w:tcBorders>
            <w:vAlign w:val="center"/>
          </w:tcPr>
          <w:p w14:paraId="360F40F9" w14:textId="77777777" w:rsidR="004E3AC5" w:rsidRPr="00BE28C4" w:rsidRDefault="00907ADD">
            <w:pPr>
              <w:keepNext/>
              <w:autoSpaceDE w:val="0"/>
              <w:autoSpaceDN w:val="0"/>
              <w:adjustRightInd w:val="0"/>
              <w:spacing w:line="240" w:lineRule="auto"/>
              <w:rPr>
                <w:b/>
                <w:szCs w:val="22"/>
              </w:rPr>
            </w:pPr>
            <w:r w:rsidRPr="00BE28C4">
              <w:rPr>
                <w:b/>
                <w:szCs w:val="22"/>
              </w:rPr>
              <w:t>Populacja ITT</w:t>
            </w:r>
            <w:r w:rsidRPr="00BE28C4">
              <w:rPr>
                <w:b/>
                <w:szCs w:val="22"/>
                <w:vertAlign w:val="superscript"/>
              </w:rPr>
              <w:t>+</w:t>
            </w:r>
          </w:p>
        </w:tc>
      </w:tr>
      <w:tr w:rsidR="004E3AC5" w:rsidRPr="00BE28C4" w14:paraId="6A1521DA" w14:textId="77777777">
        <w:trPr>
          <w:trHeight w:val="152"/>
        </w:trPr>
        <w:tc>
          <w:tcPr>
            <w:tcW w:w="1526" w:type="dxa"/>
            <w:tcBorders>
              <w:top w:val="single" w:sz="4" w:space="0" w:color="auto"/>
            </w:tcBorders>
            <w:vAlign w:val="center"/>
          </w:tcPr>
          <w:p w14:paraId="639B6DB6" w14:textId="77777777" w:rsidR="004E3AC5" w:rsidRPr="00BE28C4" w:rsidRDefault="00907ADD">
            <w:pPr>
              <w:keepNext/>
              <w:autoSpaceDE w:val="0"/>
              <w:autoSpaceDN w:val="0"/>
              <w:adjustRightInd w:val="0"/>
              <w:spacing w:line="240" w:lineRule="auto"/>
              <w:rPr>
                <w:szCs w:val="22"/>
              </w:rPr>
            </w:pPr>
            <w:r w:rsidRPr="00BE28C4">
              <w:rPr>
                <w:szCs w:val="22"/>
              </w:rPr>
              <w:t>N</w:t>
            </w:r>
          </w:p>
        </w:tc>
        <w:tc>
          <w:tcPr>
            <w:tcW w:w="837" w:type="dxa"/>
            <w:tcBorders>
              <w:top w:val="single" w:sz="4" w:space="0" w:color="auto"/>
            </w:tcBorders>
            <w:vAlign w:val="bottom"/>
          </w:tcPr>
          <w:p w14:paraId="5CCCBA75" w14:textId="77777777" w:rsidR="004E3AC5" w:rsidRPr="00BE28C4" w:rsidRDefault="00907ADD">
            <w:pPr>
              <w:keepNext/>
              <w:autoSpaceDE w:val="0"/>
              <w:autoSpaceDN w:val="0"/>
              <w:adjustRightInd w:val="0"/>
              <w:spacing w:line="240" w:lineRule="auto"/>
              <w:jc w:val="center"/>
              <w:rPr>
                <w:szCs w:val="22"/>
              </w:rPr>
            </w:pPr>
            <w:r w:rsidRPr="00BE28C4">
              <w:rPr>
                <w:szCs w:val="22"/>
              </w:rPr>
              <w:t>538</w:t>
            </w:r>
          </w:p>
        </w:tc>
        <w:tc>
          <w:tcPr>
            <w:tcW w:w="1001" w:type="dxa"/>
            <w:tcBorders>
              <w:top w:val="single" w:sz="4" w:space="0" w:color="auto"/>
            </w:tcBorders>
            <w:vAlign w:val="bottom"/>
          </w:tcPr>
          <w:p w14:paraId="3519F518" w14:textId="77777777" w:rsidR="004E3AC5" w:rsidRPr="00BE28C4" w:rsidRDefault="00907ADD">
            <w:pPr>
              <w:keepNext/>
              <w:autoSpaceDE w:val="0"/>
              <w:autoSpaceDN w:val="0"/>
              <w:adjustRightInd w:val="0"/>
              <w:spacing w:line="240" w:lineRule="auto"/>
              <w:jc w:val="center"/>
              <w:rPr>
                <w:szCs w:val="22"/>
              </w:rPr>
            </w:pPr>
            <w:r w:rsidRPr="00BE28C4">
              <w:rPr>
                <w:szCs w:val="22"/>
              </w:rPr>
              <w:t>536</w:t>
            </w:r>
          </w:p>
        </w:tc>
        <w:tc>
          <w:tcPr>
            <w:tcW w:w="991" w:type="dxa"/>
            <w:tcBorders>
              <w:top w:val="single" w:sz="4" w:space="0" w:color="auto"/>
            </w:tcBorders>
            <w:vAlign w:val="bottom"/>
          </w:tcPr>
          <w:p w14:paraId="3FDC6459" w14:textId="77777777" w:rsidR="004E3AC5" w:rsidRPr="00BE28C4" w:rsidRDefault="00907ADD">
            <w:pPr>
              <w:keepNext/>
              <w:autoSpaceDE w:val="0"/>
              <w:autoSpaceDN w:val="0"/>
              <w:adjustRightInd w:val="0"/>
              <w:spacing w:line="240" w:lineRule="auto"/>
              <w:jc w:val="center"/>
              <w:rPr>
                <w:szCs w:val="22"/>
              </w:rPr>
            </w:pPr>
            <w:r w:rsidRPr="00BE28C4">
              <w:rPr>
                <w:szCs w:val="22"/>
              </w:rPr>
              <w:t>565</w:t>
            </w:r>
          </w:p>
        </w:tc>
        <w:tc>
          <w:tcPr>
            <w:tcW w:w="998" w:type="dxa"/>
            <w:tcBorders>
              <w:top w:val="single" w:sz="4" w:space="0" w:color="auto"/>
            </w:tcBorders>
            <w:vAlign w:val="bottom"/>
          </w:tcPr>
          <w:p w14:paraId="050280E1" w14:textId="77777777" w:rsidR="004E3AC5" w:rsidRPr="00BE28C4" w:rsidRDefault="00907ADD">
            <w:pPr>
              <w:keepNext/>
              <w:autoSpaceDE w:val="0"/>
              <w:autoSpaceDN w:val="0"/>
              <w:adjustRightInd w:val="0"/>
              <w:spacing w:line="240" w:lineRule="auto"/>
              <w:jc w:val="center"/>
              <w:rPr>
                <w:szCs w:val="22"/>
              </w:rPr>
            </w:pPr>
            <w:r w:rsidRPr="00BE28C4">
              <w:rPr>
                <w:szCs w:val="22"/>
              </w:rPr>
              <w:t>196</w:t>
            </w:r>
          </w:p>
        </w:tc>
        <w:tc>
          <w:tcPr>
            <w:tcW w:w="991" w:type="dxa"/>
            <w:tcBorders>
              <w:top w:val="single" w:sz="4" w:space="0" w:color="auto"/>
            </w:tcBorders>
            <w:vAlign w:val="bottom"/>
          </w:tcPr>
          <w:p w14:paraId="4C16E359" w14:textId="77777777" w:rsidR="004E3AC5" w:rsidRPr="00BE28C4" w:rsidRDefault="00907ADD">
            <w:pPr>
              <w:keepNext/>
              <w:autoSpaceDE w:val="0"/>
              <w:autoSpaceDN w:val="0"/>
              <w:adjustRightInd w:val="0"/>
              <w:spacing w:line="240" w:lineRule="auto"/>
              <w:jc w:val="center"/>
              <w:rPr>
                <w:szCs w:val="22"/>
              </w:rPr>
            </w:pPr>
            <w:r w:rsidRPr="00BE28C4">
              <w:rPr>
                <w:szCs w:val="22"/>
              </w:rPr>
              <w:t>321</w:t>
            </w:r>
          </w:p>
        </w:tc>
        <w:tc>
          <w:tcPr>
            <w:tcW w:w="998" w:type="dxa"/>
            <w:tcBorders>
              <w:top w:val="single" w:sz="4" w:space="0" w:color="auto"/>
            </w:tcBorders>
            <w:vAlign w:val="bottom"/>
          </w:tcPr>
          <w:p w14:paraId="251C9C3C" w14:textId="77777777" w:rsidR="004E3AC5" w:rsidRPr="00BE28C4" w:rsidRDefault="00907ADD">
            <w:pPr>
              <w:keepNext/>
              <w:autoSpaceDE w:val="0"/>
              <w:autoSpaceDN w:val="0"/>
              <w:adjustRightInd w:val="0"/>
              <w:spacing w:line="240" w:lineRule="auto"/>
              <w:jc w:val="center"/>
              <w:rPr>
                <w:szCs w:val="22"/>
              </w:rPr>
            </w:pPr>
            <w:r w:rsidRPr="00BE28C4">
              <w:rPr>
                <w:szCs w:val="22"/>
              </w:rPr>
              <w:t>166</w:t>
            </w:r>
          </w:p>
        </w:tc>
        <w:tc>
          <w:tcPr>
            <w:tcW w:w="989" w:type="dxa"/>
            <w:tcBorders>
              <w:top w:val="single" w:sz="4" w:space="0" w:color="auto"/>
            </w:tcBorders>
            <w:vAlign w:val="bottom"/>
          </w:tcPr>
          <w:p w14:paraId="55A26789" w14:textId="77777777" w:rsidR="004E3AC5" w:rsidRPr="00BE28C4" w:rsidRDefault="00907ADD">
            <w:pPr>
              <w:keepNext/>
              <w:autoSpaceDE w:val="0"/>
              <w:autoSpaceDN w:val="0"/>
              <w:adjustRightInd w:val="0"/>
              <w:spacing w:line="240" w:lineRule="auto"/>
              <w:jc w:val="center"/>
              <w:rPr>
                <w:szCs w:val="22"/>
              </w:rPr>
            </w:pPr>
            <w:r w:rsidRPr="00BE28C4">
              <w:rPr>
                <w:szCs w:val="22"/>
              </w:rPr>
              <w:t>943</w:t>
            </w:r>
          </w:p>
        </w:tc>
        <w:tc>
          <w:tcPr>
            <w:tcW w:w="963" w:type="dxa"/>
            <w:tcBorders>
              <w:top w:val="single" w:sz="4" w:space="0" w:color="auto"/>
            </w:tcBorders>
            <w:vAlign w:val="bottom"/>
          </w:tcPr>
          <w:p w14:paraId="526AE662" w14:textId="77777777" w:rsidR="004E3AC5" w:rsidRPr="00BE28C4" w:rsidRDefault="00907ADD">
            <w:pPr>
              <w:keepNext/>
              <w:autoSpaceDE w:val="0"/>
              <w:autoSpaceDN w:val="0"/>
              <w:adjustRightInd w:val="0"/>
              <w:spacing w:line="240" w:lineRule="auto"/>
              <w:jc w:val="center"/>
              <w:rPr>
                <w:szCs w:val="22"/>
              </w:rPr>
            </w:pPr>
            <w:r w:rsidRPr="00BE28C4">
              <w:rPr>
                <w:szCs w:val="22"/>
              </w:rPr>
              <w:t>474</w:t>
            </w:r>
          </w:p>
        </w:tc>
      </w:tr>
      <w:tr w:rsidR="004E3AC5" w:rsidRPr="00BE28C4" w14:paraId="5F837F0A" w14:textId="77777777">
        <w:trPr>
          <w:trHeight w:val="152"/>
        </w:trPr>
        <w:tc>
          <w:tcPr>
            <w:tcW w:w="1526" w:type="dxa"/>
            <w:vAlign w:val="center"/>
          </w:tcPr>
          <w:p w14:paraId="47C0A9BF" w14:textId="77777777" w:rsidR="004E3AC5" w:rsidRPr="00BE28C4" w:rsidRDefault="00907ADD">
            <w:pPr>
              <w:keepNext/>
              <w:autoSpaceDE w:val="0"/>
              <w:autoSpaceDN w:val="0"/>
              <w:adjustRightInd w:val="0"/>
              <w:spacing w:line="240" w:lineRule="auto"/>
              <w:rPr>
                <w:szCs w:val="22"/>
              </w:rPr>
            </w:pPr>
            <w:r w:rsidRPr="00BE28C4">
              <w:rPr>
                <w:szCs w:val="22"/>
              </w:rPr>
              <w:t>Wyjściowa masa ciała (kg)</w:t>
            </w:r>
          </w:p>
        </w:tc>
        <w:tc>
          <w:tcPr>
            <w:tcW w:w="837" w:type="dxa"/>
            <w:vAlign w:val="center"/>
          </w:tcPr>
          <w:p w14:paraId="453CE066" w14:textId="77777777" w:rsidR="004E3AC5" w:rsidRPr="00BE28C4" w:rsidRDefault="00907ADD">
            <w:pPr>
              <w:keepNext/>
              <w:autoSpaceDE w:val="0"/>
              <w:autoSpaceDN w:val="0"/>
              <w:adjustRightInd w:val="0"/>
              <w:spacing w:line="240" w:lineRule="auto"/>
              <w:jc w:val="center"/>
              <w:rPr>
                <w:szCs w:val="22"/>
              </w:rPr>
            </w:pPr>
            <w:r w:rsidRPr="00BE28C4">
              <w:rPr>
                <w:szCs w:val="22"/>
              </w:rPr>
              <w:t>99,8</w:t>
            </w:r>
          </w:p>
        </w:tc>
        <w:tc>
          <w:tcPr>
            <w:tcW w:w="1001" w:type="dxa"/>
            <w:vAlign w:val="center"/>
          </w:tcPr>
          <w:p w14:paraId="4B7984FE" w14:textId="77777777" w:rsidR="004E3AC5" w:rsidRPr="00BE28C4" w:rsidRDefault="00907ADD">
            <w:pPr>
              <w:keepNext/>
              <w:autoSpaceDE w:val="0"/>
              <w:autoSpaceDN w:val="0"/>
              <w:adjustRightInd w:val="0"/>
              <w:spacing w:line="240" w:lineRule="auto"/>
              <w:jc w:val="center"/>
              <w:rPr>
                <w:szCs w:val="22"/>
              </w:rPr>
            </w:pPr>
            <w:r w:rsidRPr="00BE28C4">
              <w:rPr>
                <w:szCs w:val="22"/>
              </w:rPr>
              <w:t>99,5</w:t>
            </w:r>
          </w:p>
        </w:tc>
        <w:tc>
          <w:tcPr>
            <w:tcW w:w="991" w:type="dxa"/>
            <w:vAlign w:val="center"/>
          </w:tcPr>
          <w:p w14:paraId="0FEFD93F" w14:textId="77777777" w:rsidR="004E3AC5" w:rsidRPr="00BE28C4" w:rsidRDefault="00907ADD">
            <w:pPr>
              <w:keepNext/>
              <w:autoSpaceDE w:val="0"/>
              <w:autoSpaceDN w:val="0"/>
              <w:adjustRightInd w:val="0"/>
              <w:spacing w:line="240" w:lineRule="auto"/>
              <w:jc w:val="center"/>
              <w:rPr>
                <w:szCs w:val="22"/>
              </w:rPr>
            </w:pPr>
            <w:r w:rsidRPr="00BE28C4">
              <w:rPr>
                <w:szCs w:val="22"/>
              </w:rPr>
              <w:t>100,3</w:t>
            </w:r>
          </w:p>
        </w:tc>
        <w:tc>
          <w:tcPr>
            <w:tcW w:w="998" w:type="dxa"/>
            <w:vAlign w:val="center"/>
          </w:tcPr>
          <w:p w14:paraId="7F6DF89C" w14:textId="77777777" w:rsidR="004E3AC5" w:rsidRPr="00BE28C4" w:rsidRDefault="00907ADD">
            <w:pPr>
              <w:keepNext/>
              <w:autoSpaceDE w:val="0"/>
              <w:autoSpaceDN w:val="0"/>
              <w:adjustRightInd w:val="0"/>
              <w:spacing w:line="240" w:lineRule="auto"/>
              <w:jc w:val="center"/>
              <w:rPr>
                <w:szCs w:val="22"/>
              </w:rPr>
            </w:pPr>
            <w:r w:rsidRPr="00BE28C4">
              <w:rPr>
                <w:szCs w:val="22"/>
              </w:rPr>
              <w:t>101,8</w:t>
            </w:r>
          </w:p>
        </w:tc>
        <w:tc>
          <w:tcPr>
            <w:tcW w:w="991" w:type="dxa"/>
            <w:vAlign w:val="center"/>
          </w:tcPr>
          <w:p w14:paraId="38E777C0" w14:textId="77777777" w:rsidR="004E3AC5" w:rsidRPr="00BE28C4" w:rsidRDefault="00907ADD">
            <w:pPr>
              <w:keepNext/>
              <w:autoSpaceDE w:val="0"/>
              <w:autoSpaceDN w:val="0"/>
              <w:adjustRightInd w:val="0"/>
              <w:spacing w:line="240" w:lineRule="auto"/>
              <w:jc w:val="center"/>
              <w:rPr>
                <w:szCs w:val="22"/>
              </w:rPr>
            </w:pPr>
            <w:r w:rsidRPr="00BE28C4">
              <w:rPr>
                <w:szCs w:val="22"/>
              </w:rPr>
              <w:t>104,2</w:t>
            </w:r>
          </w:p>
        </w:tc>
        <w:tc>
          <w:tcPr>
            <w:tcW w:w="998" w:type="dxa"/>
            <w:vAlign w:val="center"/>
          </w:tcPr>
          <w:p w14:paraId="22E9DCFD" w14:textId="77777777" w:rsidR="004E3AC5" w:rsidRPr="00BE28C4" w:rsidRDefault="00907ADD">
            <w:pPr>
              <w:keepNext/>
              <w:autoSpaceDE w:val="0"/>
              <w:autoSpaceDN w:val="0"/>
              <w:adjustRightInd w:val="0"/>
              <w:spacing w:line="240" w:lineRule="auto"/>
              <w:jc w:val="center"/>
              <w:rPr>
                <w:szCs w:val="22"/>
              </w:rPr>
            </w:pPr>
            <w:r w:rsidRPr="00BE28C4">
              <w:rPr>
                <w:szCs w:val="22"/>
              </w:rPr>
              <w:t>105,3</w:t>
            </w:r>
          </w:p>
        </w:tc>
        <w:tc>
          <w:tcPr>
            <w:tcW w:w="989" w:type="dxa"/>
            <w:vAlign w:val="center"/>
          </w:tcPr>
          <w:p w14:paraId="00CFA065" w14:textId="77777777" w:rsidR="004E3AC5" w:rsidRPr="00BE28C4" w:rsidRDefault="00907ADD">
            <w:pPr>
              <w:keepNext/>
              <w:autoSpaceDE w:val="0"/>
              <w:autoSpaceDN w:val="0"/>
              <w:adjustRightInd w:val="0"/>
              <w:spacing w:line="240" w:lineRule="auto"/>
              <w:jc w:val="center"/>
              <w:rPr>
                <w:szCs w:val="22"/>
              </w:rPr>
            </w:pPr>
            <w:r w:rsidRPr="00BE28C4">
              <w:rPr>
                <w:szCs w:val="22"/>
              </w:rPr>
              <w:t>100,4</w:t>
            </w:r>
          </w:p>
        </w:tc>
        <w:tc>
          <w:tcPr>
            <w:tcW w:w="963" w:type="dxa"/>
            <w:vAlign w:val="center"/>
          </w:tcPr>
          <w:p w14:paraId="3848E4EF" w14:textId="77777777" w:rsidR="004E3AC5" w:rsidRPr="00BE28C4" w:rsidRDefault="00907ADD">
            <w:pPr>
              <w:keepNext/>
              <w:autoSpaceDE w:val="0"/>
              <w:autoSpaceDN w:val="0"/>
              <w:adjustRightInd w:val="0"/>
              <w:spacing w:line="240" w:lineRule="auto"/>
              <w:jc w:val="center"/>
              <w:rPr>
                <w:szCs w:val="22"/>
              </w:rPr>
            </w:pPr>
            <w:r w:rsidRPr="00BE28C4">
              <w:rPr>
                <w:szCs w:val="22"/>
              </w:rPr>
              <w:t>99,4</w:t>
            </w:r>
          </w:p>
        </w:tc>
      </w:tr>
      <w:tr w:rsidR="004E3AC5" w:rsidRPr="00BE28C4" w14:paraId="542E273D" w14:textId="77777777">
        <w:trPr>
          <w:trHeight w:val="152"/>
        </w:trPr>
        <w:tc>
          <w:tcPr>
            <w:tcW w:w="1526" w:type="dxa"/>
            <w:vAlign w:val="center"/>
          </w:tcPr>
          <w:p w14:paraId="52AD7C3F" w14:textId="77777777" w:rsidR="004E3AC5" w:rsidRPr="00BE28C4" w:rsidRDefault="00907ADD">
            <w:pPr>
              <w:keepNext/>
              <w:autoSpaceDE w:val="0"/>
              <w:autoSpaceDN w:val="0"/>
              <w:adjustRightInd w:val="0"/>
              <w:spacing w:line="240" w:lineRule="auto"/>
              <w:rPr>
                <w:i/>
                <w:szCs w:val="22"/>
              </w:rPr>
            </w:pPr>
            <w:r w:rsidRPr="00BE28C4">
              <w:rPr>
                <w:szCs w:val="22"/>
              </w:rPr>
              <w:t>Średnia procentowa zmiana wyjściowej masy ciała wyliczona metodą najmniejszych kwadratów</w:t>
            </w:r>
          </w:p>
          <w:p w14:paraId="64846004" w14:textId="77777777" w:rsidR="004E3AC5" w:rsidRPr="00BE28C4" w:rsidRDefault="00907ADD">
            <w:pPr>
              <w:keepNext/>
              <w:autoSpaceDE w:val="0"/>
              <w:autoSpaceDN w:val="0"/>
              <w:adjustRightInd w:val="0"/>
              <w:spacing w:line="240" w:lineRule="auto"/>
              <w:rPr>
                <w:szCs w:val="22"/>
              </w:rPr>
            </w:pPr>
            <w:r w:rsidRPr="00BE28C4">
              <w:rPr>
                <w:szCs w:val="22"/>
              </w:rPr>
              <w:t>(95% CI)</w:t>
            </w:r>
          </w:p>
        </w:tc>
        <w:tc>
          <w:tcPr>
            <w:tcW w:w="837" w:type="dxa"/>
            <w:vAlign w:val="center"/>
          </w:tcPr>
          <w:p w14:paraId="45645F35" w14:textId="77777777" w:rsidR="004E3AC5" w:rsidRPr="00BE28C4" w:rsidRDefault="00907ADD">
            <w:pPr>
              <w:keepNext/>
              <w:autoSpaceDE w:val="0"/>
              <w:autoSpaceDN w:val="0"/>
              <w:adjustRightInd w:val="0"/>
              <w:spacing w:line="240" w:lineRule="auto"/>
              <w:jc w:val="center"/>
              <w:rPr>
                <w:szCs w:val="22"/>
              </w:rPr>
            </w:pPr>
            <w:r w:rsidRPr="00BE28C4">
              <w:rPr>
                <w:szCs w:val="22"/>
              </w:rPr>
              <w:t>-5,4*</w:t>
            </w:r>
          </w:p>
          <w:p w14:paraId="36A5415B" w14:textId="77777777" w:rsidR="004E3AC5" w:rsidRPr="00BE28C4" w:rsidRDefault="00907ADD">
            <w:pPr>
              <w:keepNext/>
              <w:autoSpaceDE w:val="0"/>
              <w:autoSpaceDN w:val="0"/>
              <w:adjustRightInd w:val="0"/>
              <w:spacing w:line="240" w:lineRule="auto"/>
              <w:jc w:val="center"/>
              <w:rPr>
                <w:szCs w:val="22"/>
              </w:rPr>
            </w:pPr>
            <w:r w:rsidRPr="00BE28C4">
              <w:rPr>
                <w:szCs w:val="22"/>
              </w:rPr>
              <w:t>(</w:t>
            </w:r>
            <w:r w:rsidRPr="00BE28C4">
              <w:rPr>
                <w:szCs w:val="22"/>
              </w:rPr>
              <w:noBreakHyphen/>
              <w:t xml:space="preserve">6,0; </w:t>
            </w:r>
            <w:r w:rsidRPr="00BE28C4">
              <w:rPr>
                <w:szCs w:val="22"/>
              </w:rPr>
              <w:noBreakHyphen/>
              <w:t>4,8)</w:t>
            </w:r>
          </w:p>
        </w:tc>
        <w:tc>
          <w:tcPr>
            <w:tcW w:w="1001" w:type="dxa"/>
            <w:vAlign w:val="center"/>
          </w:tcPr>
          <w:p w14:paraId="7CC9165F" w14:textId="77777777" w:rsidR="004E3AC5" w:rsidRPr="00BE28C4" w:rsidRDefault="00907ADD">
            <w:pPr>
              <w:keepNext/>
              <w:autoSpaceDE w:val="0"/>
              <w:autoSpaceDN w:val="0"/>
              <w:adjustRightInd w:val="0"/>
              <w:spacing w:line="240" w:lineRule="auto"/>
              <w:jc w:val="center"/>
              <w:rPr>
                <w:szCs w:val="22"/>
              </w:rPr>
            </w:pPr>
            <w:r w:rsidRPr="00BE28C4">
              <w:rPr>
                <w:szCs w:val="22"/>
              </w:rPr>
              <w:t>-1,3</w:t>
            </w:r>
          </w:p>
          <w:p w14:paraId="496C444E" w14:textId="77777777" w:rsidR="004E3AC5" w:rsidRPr="00BE28C4" w:rsidRDefault="00907ADD">
            <w:pPr>
              <w:keepNext/>
              <w:autoSpaceDE w:val="0"/>
              <w:autoSpaceDN w:val="0"/>
              <w:adjustRightInd w:val="0"/>
              <w:spacing w:line="240" w:lineRule="auto"/>
              <w:jc w:val="center"/>
              <w:rPr>
                <w:szCs w:val="22"/>
              </w:rPr>
            </w:pPr>
            <w:r w:rsidRPr="00BE28C4">
              <w:rPr>
                <w:szCs w:val="22"/>
              </w:rPr>
              <w:t>(</w:t>
            </w:r>
            <w:r w:rsidRPr="00BE28C4">
              <w:rPr>
                <w:szCs w:val="22"/>
              </w:rPr>
              <w:noBreakHyphen/>
              <w:t xml:space="preserve">1,9; </w:t>
            </w:r>
            <w:r w:rsidRPr="00BE28C4">
              <w:rPr>
                <w:szCs w:val="22"/>
              </w:rPr>
              <w:noBreakHyphen/>
              <w:t>0,7)</w:t>
            </w:r>
          </w:p>
        </w:tc>
        <w:tc>
          <w:tcPr>
            <w:tcW w:w="991" w:type="dxa"/>
            <w:vAlign w:val="center"/>
          </w:tcPr>
          <w:p w14:paraId="59853FAC" w14:textId="77777777" w:rsidR="004E3AC5" w:rsidRPr="00BE28C4" w:rsidRDefault="00907ADD">
            <w:pPr>
              <w:keepNext/>
              <w:autoSpaceDE w:val="0"/>
              <w:autoSpaceDN w:val="0"/>
              <w:adjustRightInd w:val="0"/>
              <w:spacing w:line="240" w:lineRule="auto"/>
              <w:jc w:val="center"/>
              <w:rPr>
                <w:szCs w:val="22"/>
              </w:rPr>
            </w:pPr>
            <w:r w:rsidRPr="00BE28C4">
              <w:rPr>
                <w:szCs w:val="22"/>
              </w:rPr>
              <w:t>-8,1*</w:t>
            </w:r>
          </w:p>
          <w:p w14:paraId="67E8936E" w14:textId="77777777" w:rsidR="004E3AC5" w:rsidRPr="00BE28C4" w:rsidRDefault="00907ADD">
            <w:pPr>
              <w:keepNext/>
              <w:autoSpaceDE w:val="0"/>
              <w:autoSpaceDN w:val="0"/>
              <w:adjustRightInd w:val="0"/>
              <w:spacing w:line="240" w:lineRule="auto"/>
              <w:jc w:val="center"/>
              <w:rPr>
                <w:szCs w:val="22"/>
              </w:rPr>
            </w:pPr>
            <w:r w:rsidRPr="00BE28C4">
              <w:rPr>
                <w:szCs w:val="22"/>
              </w:rPr>
              <w:t>(</w:t>
            </w:r>
            <w:r w:rsidRPr="00BE28C4">
              <w:rPr>
                <w:szCs w:val="22"/>
              </w:rPr>
              <w:noBreakHyphen/>
              <w:t xml:space="preserve">8,8; </w:t>
            </w:r>
            <w:r w:rsidRPr="00BE28C4">
              <w:rPr>
                <w:szCs w:val="22"/>
              </w:rPr>
              <w:noBreakHyphen/>
              <w:t>7,4)</w:t>
            </w:r>
          </w:p>
        </w:tc>
        <w:tc>
          <w:tcPr>
            <w:tcW w:w="998" w:type="dxa"/>
            <w:vAlign w:val="center"/>
          </w:tcPr>
          <w:p w14:paraId="606CDD04" w14:textId="77777777" w:rsidR="004E3AC5" w:rsidRPr="00BE28C4" w:rsidRDefault="00907ADD">
            <w:pPr>
              <w:keepNext/>
              <w:autoSpaceDE w:val="0"/>
              <w:autoSpaceDN w:val="0"/>
              <w:adjustRightInd w:val="0"/>
              <w:spacing w:line="240" w:lineRule="auto"/>
              <w:jc w:val="center"/>
              <w:rPr>
                <w:szCs w:val="22"/>
              </w:rPr>
            </w:pPr>
            <w:r w:rsidRPr="00BE28C4">
              <w:rPr>
                <w:szCs w:val="22"/>
              </w:rPr>
              <w:t>-4,9</w:t>
            </w:r>
          </w:p>
          <w:p w14:paraId="4B67DE89" w14:textId="77777777" w:rsidR="004E3AC5" w:rsidRPr="00BE28C4" w:rsidRDefault="00907ADD">
            <w:pPr>
              <w:keepNext/>
              <w:autoSpaceDE w:val="0"/>
              <w:autoSpaceDN w:val="0"/>
              <w:adjustRightInd w:val="0"/>
              <w:spacing w:line="240" w:lineRule="auto"/>
              <w:jc w:val="center"/>
              <w:rPr>
                <w:szCs w:val="22"/>
              </w:rPr>
            </w:pPr>
            <w:r w:rsidRPr="00BE28C4">
              <w:rPr>
                <w:szCs w:val="22"/>
              </w:rPr>
              <w:t>(</w:t>
            </w:r>
            <w:r w:rsidRPr="00BE28C4">
              <w:rPr>
                <w:szCs w:val="22"/>
              </w:rPr>
              <w:noBreakHyphen/>
              <w:t xml:space="preserve">6,1; </w:t>
            </w:r>
            <w:r w:rsidRPr="00BE28C4">
              <w:rPr>
                <w:szCs w:val="22"/>
              </w:rPr>
              <w:noBreakHyphen/>
              <w:t>3,7)</w:t>
            </w:r>
          </w:p>
        </w:tc>
        <w:tc>
          <w:tcPr>
            <w:tcW w:w="991" w:type="dxa"/>
            <w:vAlign w:val="center"/>
          </w:tcPr>
          <w:p w14:paraId="6AD0FFD0" w14:textId="77777777" w:rsidR="004E3AC5" w:rsidRPr="00BE28C4" w:rsidRDefault="00907ADD">
            <w:pPr>
              <w:keepNext/>
              <w:autoSpaceDE w:val="0"/>
              <w:autoSpaceDN w:val="0"/>
              <w:adjustRightInd w:val="0"/>
              <w:spacing w:line="240" w:lineRule="auto"/>
              <w:jc w:val="center"/>
              <w:rPr>
                <w:szCs w:val="22"/>
              </w:rPr>
            </w:pPr>
            <w:r w:rsidRPr="00BE28C4">
              <w:rPr>
                <w:szCs w:val="22"/>
              </w:rPr>
              <w:t>-3,7*</w:t>
            </w:r>
          </w:p>
          <w:p w14:paraId="6EF2CACB" w14:textId="77777777" w:rsidR="004E3AC5" w:rsidRPr="00BE28C4" w:rsidRDefault="00907ADD">
            <w:pPr>
              <w:keepNext/>
              <w:autoSpaceDE w:val="0"/>
              <w:autoSpaceDN w:val="0"/>
              <w:adjustRightInd w:val="0"/>
              <w:spacing w:line="240" w:lineRule="auto"/>
              <w:jc w:val="center"/>
              <w:rPr>
                <w:szCs w:val="22"/>
              </w:rPr>
            </w:pPr>
            <w:r w:rsidRPr="00BE28C4">
              <w:rPr>
                <w:szCs w:val="22"/>
              </w:rPr>
              <w:t>(</w:t>
            </w:r>
            <w:r w:rsidRPr="00BE28C4">
              <w:rPr>
                <w:szCs w:val="22"/>
              </w:rPr>
              <w:noBreakHyphen/>
              <w:t xml:space="preserve">4,3; </w:t>
            </w:r>
            <w:r w:rsidRPr="00BE28C4">
              <w:rPr>
                <w:szCs w:val="22"/>
              </w:rPr>
              <w:noBreakHyphen/>
              <w:t>3,1)</w:t>
            </w:r>
          </w:p>
        </w:tc>
        <w:tc>
          <w:tcPr>
            <w:tcW w:w="998" w:type="dxa"/>
            <w:vAlign w:val="center"/>
          </w:tcPr>
          <w:p w14:paraId="735AADE0" w14:textId="77777777" w:rsidR="004E3AC5" w:rsidRPr="00BE28C4" w:rsidRDefault="00907ADD">
            <w:pPr>
              <w:keepNext/>
              <w:autoSpaceDE w:val="0"/>
              <w:autoSpaceDN w:val="0"/>
              <w:adjustRightInd w:val="0"/>
              <w:spacing w:line="240" w:lineRule="auto"/>
              <w:jc w:val="center"/>
              <w:rPr>
                <w:szCs w:val="22"/>
              </w:rPr>
            </w:pPr>
            <w:r w:rsidRPr="00BE28C4">
              <w:rPr>
                <w:szCs w:val="22"/>
              </w:rPr>
              <w:t>-1,7</w:t>
            </w:r>
          </w:p>
          <w:p w14:paraId="78CD6C5F" w14:textId="77777777" w:rsidR="004E3AC5" w:rsidRPr="00BE28C4" w:rsidRDefault="00907ADD">
            <w:pPr>
              <w:keepNext/>
              <w:autoSpaceDE w:val="0"/>
              <w:autoSpaceDN w:val="0"/>
              <w:adjustRightInd w:val="0"/>
              <w:spacing w:line="240" w:lineRule="auto"/>
              <w:jc w:val="center"/>
              <w:rPr>
                <w:szCs w:val="22"/>
              </w:rPr>
            </w:pPr>
            <w:r w:rsidRPr="00BE28C4">
              <w:rPr>
                <w:szCs w:val="22"/>
              </w:rPr>
              <w:t>(</w:t>
            </w:r>
            <w:r w:rsidRPr="00BE28C4">
              <w:rPr>
                <w:szCs w:val="22"/>
              </w:rPr>
              <w:noBreakHyphen/>
              <w:t xml:space="preserve">2,5; </w:t>
            </w:r>
            <w:r w:rsidRPr="00BE28C4">
              <w:rPr>
                <w:szCs w:val="22"/>
              </w:rPr>
              <w:noBreakHyphen/>
              <w:t>0,9)</w:t>
            </w:r>
          </w:p>
        </w:tc>
        <w:tc>
          <w:tcPr>
            <w:tcW w:w="989" w:type="dxa"/>
            <w:vAlign w:val="center"/>
          </w:tcPr>
          <w:p w14:paraId="7BC37E68" w14:textId="77777777" w:rsidR="004E3AC5" w:rsidRPr="00BE28C4" w:rsidRDefault="00907ADD">
            <w:pPr>
              <w:keepNext/>
              <w:autoSpaceDE w:val="0"/>
              <w:autoSpaceDN w:val="0"/>
              <w:adjustRightInd w:val="0"/>
              <w:spacing w:line="240" w:lineRule="auto"/>
              <w:jc w:val="center"/>
              <w:rPr>
                <w:szCs w:val="22"/>
              </w:rPr>
            </w:pPr>
            <w:r w:rsidRPr="00BE28C4">
              <w:rPr>
                <w:szCs w:val="22"/>
              </w:rPr>
              <w:t>-5,7*</w:t>
            </w:r>
          </w:p>
          <w:p w14:paraId="15D54C67" w14:textId="77777777" w:rsidR="004E3AC5" w:rsidRPr="00BE28C4" w:rsidRDefault="00907ADD">
            <w:pPr>
              <w:keepNext/>
              <w:autoSpaceDE w:val="0"/>
              <w:autoSpaceDN w:val="0"/>
              <w:adjustRightInd w:val="0"/>
              <w:spacing w:line="240" w:lineRule="auto"/>
              <w:jc w:val="center"/>
              <w:rPr>
                <w:szCs w:val="22"/>
              </w:rPr>
            </w:pPr>
            <w:r w:rsidRPr="00BE28C4">
              <w:rPr>
                <w:szCs w:val="22"/>
              </w:rPr>
              <w:t>(</w:t>
            </w:r>
            <w:r w:rsidRPr="00BE28C4">
              <w:rPr>
                <w:szCs w:val="22"/>
              </w:rPr>
              <w:noBreakHyphen/>
              <w:t xml:space="preserve">6,1; </w:t>
            </w:r>
            <w:r w:rsidRPr="00BE28C4">
              <w:rPr>
                <w:szCs w:val="22"/>
              </w:rPr>
              <w:noBreakHyphen/>
              <w:t>5,3)</w:t>
            </w:r>
          </w:p>
        </w:tc>
        <w:tc>
          <w:tcPr>
            <w:tcW w:w="963" w:type="dxa"/>
            <w:vAlign w:val="center"/>
          </w:tcPr>
          <w:p w14:paraId="32E0BF32" w14:textId="77777777" w:rsidR="004E3AC5" w:rsidRPr="00BE28C4" w:rsidRDefault="00907ADD">
            <w:pPr>
              <w:keepNext/>
              <w:autoSpaceDE w:val="0"/>
              <w:autoSpaceDN w:val="0"/>
              <w:adjustRightInd w:val="0"/>
              <w:spacing w:line="240" w:lineRule="auto"/>
              <w:jc w:val="center"/>
              <w:rPr>
                <w:szCs w:val="22"/>
              </w:rPr>
            </w:pPr>
            <w:r w:rsidRPr="00BE28C4">
              <w:rPr>
                <w:szCs w:val="22"/>
              </w:rPr>
              <w:t>-1,9</w:t>
            </w:r>
          </w:p>
          <w:p w14:paraId="7313A858" w14:textId="77777777" w:rsidR="004E3AC5" w:rsidRPr="00BE28C4" w:rsidRDefault="00907ADD">
            <w:pPr>
              <w:keepNext/>
              <w:autoSpaceDE w:val="0"/>
              <w:autoSpaceDN w:val="0"/>
              <w:adjustRightInd w:val="0"/>
              <w:spacing w:line="240" w:lineRule="auto"/>
              <w:jc w:val="center"/>
              <w:rPr>
                <w:szCs w:val="22"/>
              </w:rPr>
            </w:pPr>
            <w:r w:rsidRPr="00BE28C4">
              <w:rPr>
                <w:szCs w:val="22"/>
              </w:rPr>
              <w:t>(</w:t>
            </w:r>
            <w:r w:rsidRPr="00BE28C4">
              <w:rPr>
                <w:szCs w:val="22"/>
              </w:rPr>
              <w:noBreakHyphen/>
              <w:t xml:space="preserve">2,4; </w:t>
            </w:r>
            <w:r w:rsidRPr="00BE28C4">
              <w:rPr>
                <w:szCs w:val="22"/>
              </w:rPr>
              <w:noBreakHyphen/>
              <w:t>1,4)</w:t>
            </w:r>
          </w:p>
        </w:tc>
      </w:tr>
      <w:tr w:rsidR="004E3AC5" w:rsidRPr="00BE28C4" w14:paraId="78448800" w14:textId="77777777">
        <w:trPr>
          <w:trHeight w:val="152"/>
        </w:trPr>
        <w:tc>
          <w:tcPr>
            <w:tcW w:w="9294" w:type="dxa"/>
            <w:gridSpan w:val="9"/>
            <w:vAlign w:val="center"/>
          </w:tcPr>
          <w:p w14:paraId="09A41EF6" w14:textId="77777777" w:rsidR="004E3AC5" w:rsidRPr="00BE28C4" w:rsidRDefault="00907ADD">
            <w:pPr>
              <w:keepNext/>
              <w:autoSpaceDE w:val="0"/>
              <w:autoSpaceDN w:val="0"/>
              <w:adjustRightInd w:val="0"/>
              <w:spacing w:line="240" w:lineRule="auto"/>
              <w:rPr>
                <w:b/>
                <w:szCs w:val="22"/>
              </w:rPr>
            </w:pPr>
            <w:r w:rsidRPr="00BE28C4">
              <w:rPr>
                <w:b/>
                <w:szCs w:val="22"/>
              </w:rPr>
              <w:t>Populacja pacjentów, którzy ukończyli badanie</w:t>
            </w:r>
            <w:r w:rsidRPr="00BE28C4">
              <w:rPr>
                <w:szCs w:val="22"/>
                <w:vertAlign w:val="superscript"/>
              </w:rPr>
              <w:t>++</w:t>
            </w:r>
          </w:p>
        </w:tc>
      </w:tr>
      <w:tr w:rsidR="004E3AC5" w:rsidRPr="00BE28C4" w14:paraId="1A22428F" w14:textId="77777777">
        <w:trPr>
          <w:trHeight w:val="152"/>
        </w:trPr>
        <w:tc>
          <w:tcPr>
            <w:tcW w:w="1526" w:type="dxa"/>
            <w:vAlign w:val="center"/>
          </w:tcPr>
          <w:p w14:paraId="78225086" w14:textId="77777777" w:rsidR="004E3AC5" w:rsidRPr="00BE28C4" w:rsidRDefault="00907ADD">
            <w:pPr>
              <w:keepNext/>
              <w:autoSpaceDE w:val="0"/>
              <w:autoSpaceDN w:val="0"/>
              <w:adjustRightInd w:val="0"/>
              <w:spacing w:line="240" w:lineRule="auto"/>
              <w:rPr>
                <w:szCs w:val="22"/>
              </w:rPr>
            </w:pPr>
            <w:r w:rsidRPr="00BE28C4">
              <w:rPr>
                <w:szCs w:val="22"/>
              </w:rPr>
              <w:t>N</w:t>
            </w:r>
          </w:p>
        </w:tc>
        <w:tc>
          <w:tcPr>
            <w:tcW w:w="837" w:type="dxa"/>
            <w:vAlign w:val="center"/>
          </w:tcPr>
          <w:p w14:paraId="57780D81" w14:textId="77777777" w:rsidR="004E3AC5" w:rsidRPr="00BE28C4" w:rsidRDefault="00907ADD">
            <w:pPr>
              <w:keepNext/>
              <w:autoSpaceDE w:val="0"/>
              <w:autoSpaceDN w:val="0"/>
              <w:adjustRightInd w:val="0"/>
              <w:spacing w:line="240" w:lineRule="auto"/>
              <w:jc w:val="center"/>
              <w:rPr>
                <w:szCs w:val="22"/>
              </w:rPr>
            </w:pPr>
            <w:r w:rsidRPr="00BE28C4">
              <w:rPr>
                <w:szCs w:val="22"/>
              </w:rPr>
              <w:t>296</w:t>
            </w:r>
          </w:p>
        </w:tc>
        <w:tc>
          <w:tcPr>
            <w:tcW w:w="1001" w:type="dxa"/>
            <w:vAlign w:val="center"/>
          </w:tcPr>
          <w:p w14:paraId="33AAEC33" w14:textId="77777777" w:rsidR="004E3AC5" w:rsidRPr="00BE28C4" w:rsidRDefault="00907ADD">
            <w:pPr>
              <w:keepNext/>
              <w:autoSpaceDE w:val="0"/>
              <w:autoSpaceDN w:val="0"/>
              <w:adjustRightInd w:val="0"/>
              <w:spacing w:line="240" w:lineRule="auto"/>
              <w:jc w:val="center"/>
              <w:rPr>
                <w:szCs w:val="22"/>
              </w:rPr>
            </w:pPr>
            <w:r w:rsidRPr="00BE28C4">
              <w:rPr>
                <w:szCs w:val="22"/>
              </w:rPr>
              <w:t>290</w:t>
            </w:r>
          </w:p>
        </w:tc>
        <w:tc>
          <w:tcPr>
            <w:tcW w:w="991" w:type="dxa"/>
            <w:vAlign w:val="center"/>
          </w:tcPr>
          <w:p w14:paraId="3F342E4E" w14:textId="77777777" w:rsidR="004E3AC5" w:rsidRPr="00BE28C4" w:rsidRDefault="00907ADD">
            <w:pPr>
              <w:keepNext/>
              <w:autoSpaceDE w:val="0"/>
              <w:autoSpaceDN w:val="0"/>
              <w:adjustRightInd w:val="0"/>
              <w:spacing w:line="240" w:lineRule="auto"/>
              <w:jc w:val="center"/>
              <w:rPr>
                <w:szCs w:val="22"/>
              </w:rPr>
            </w:pPr>
            <w:r w:rsidRPr="00BE28C4">
              <w:rPr>
                <w:szCs w:val="22"/>
              </w:rPr>
              <w:t>301</w:t>
            </w:r>
          </w:p>
        </w:tc>
        <w:tc>
          <w:tcPr>
            <w:tcW w:w="998" w:type="dxa"/>
            <w:vAlign w:val="center"/>
          </w:tcPr>
          <w:p w14:paraId="4FE12EA4" w14:textId="77777777" w:rsidR="004E3AC5" w:rsidRPr="00BE28C4" w:rsidRDefault="00907ADD">
            <w:pPr>
              <w:keepNext/>
              <w:autoSpaceDE w:val="0"/>
              <w:autoSpaceDN w:val="0"/>
              <w:adjustRightInd w:val="0"/>
              <w:spacing w:line="240" w:lineRule="auto"/>
              <w:jc w:val="center"/>
              <w:rPr>
                <w:szCs w:val="22"/>
              </w:rPr>
            </w:pPr>
            <w:r w:rsidRPr="00BE28C4">
              <w:rPr>
                <w:szCs w:val="22"/>
              </w:rPr>
              <w:t>106</w:t>
            </w:r>
          </w:p>
        </w:tc>
        <w:tc>
          <w:tcPr>
            <w:tcW w:w="991" w:type="dxa"/>
            <w:vAlign w:val="center"/>
          </w:tcPr>
          <w:p w14:paraId="0CC72E49" w14:textId="77777777" w:rsidR="004E3AC5" w:rsidRPr="00BE28C4" w:rsidRDefault="00907ADD">
            <w:pPr>
              <w:keepNext/>
              <w:autoSpaceDE w:val="0"/>
              <w:autoSpaceDN w:val="0"/>
              <w:adjustRightInd w:val="0"/>
              <w:spacing w:line="240" w:lineRule="auto"/>
              <w:jc w:val="center"/>
              <w:rPr>
                <w:szCs w:val="22"/>
              </w:rPr>
            </w:pPr>
            <w:r w:rsidRPr="00BE28C4">
              <w:rPr>
                <w:szCs w:val="22"/>
              </w:rPr>
              <w:t>175</w:t>
            </w:r>
          </w:p>
        </w:tc>
        <w:tc>
          <w:tcPr>
            <w:tcW w:w="998" w:type="dxa"/>
            <w:vAlign w:val="center"/>
          </w:tcPr>
          <w:p w14:paraId="50475ECA" w14:textId="77777777" w:rsidR="004E3AC5" w:rsidRPr="00BE28C4" w:rsidRDefault="00907ADD">
            <w:pPr>
              <w:keepNext/>
              <w:autoSpaceDE w:val="0"/>
              <w:autoSpaceDN w:val="0"/>
              <w:adjustRightInd w:val="0"/>
              <w:spacing w:line="240" w:lineRule="auto"/>
              <w:jc w:val="center"/>
              <w:rPr>
                <w:szCs w:val="22"/>
              </w:rPr>
            </w:pPr>
            <w:r w:rsidRPr="00BE28C4">
              <w:rPr>
                <w:szCs w:val="22"/>
              </w:rPr>
              <w:t>100</w:t>
            </w:r>
          </w:p>
        </w:tc>
        <w:tc>
          <w:tcPr>
            <w:tcW w:w="989" w:type="dxa"/>
            <w:vAlign w:val="center"/>
          </w:tcPr>
          <w:p w14:paraId="5D0C5508" w14:textId="77777777" w:rsidR="004E3AC5" w:rsidRPr="00BE28C4" w:rsidRDefault="00907ADD">
            <w:pPr>
              <w:keepNext/>
              <w:autoSpaceDE w:val="0"/>
              <w:autoSpaceDN w:val="0"/>
              <w:adjustRightInd w:val="0"/>
              <w:spacing w:line="240" w:lineRule="auto"/>
              <w:jc w:val="center"/>
              <w:rPr>
                <w:szCs w:val="22"/>
              </w:rPr>
            </w:pPr>
            <w:r w:rsidRPr="00BE28C4">
              <w:rPr>
                <w:szCs w:val="22"/>
              </w:rPr>
              <w:t>619</w:t>
            </w:r>
          </w:p>
        </w:tc>
        <w:tc>
          <w:tcPr>
            <w:tcW w:w="963" w:type="dxa"/>
            <w:vAlign w:val="center"/>
          </w:tcPr>
          <w:p w14:paraId="3D26F217" w14:textId="77777777" w:rsidR="004E3AC5" w:rsidRPr="00BE28C4" w:rsidRDefault="00907ADD">
            <w:pPr>
              <w:keepNext/>
              <w:autoSpaceDE w:val="0"/>
              <w:autoSpaceDN w:val="0"/>
              <w:adjustRightInd w:val="0"/>
              <w:spacing w:line="240" w:lineRule="auto"/>
              <w:jc w:val="center"/>
              <w:rPr>
                <w:szCs w:val="22"/>
              </w:rPr>
            </w:pPr>
            <w:r w:rsidRPr="00BE28C4">
              <w:rPr>
                <w:szCs w:val="22"/>
              </w:rPr>
              <w:t>319</w:t>
            </w:r>
          </w:p>
        </w:tc>
      </w:tr>
      <w:tr w:rsidR="004E3AC5" w:rsidRPr="00BE28C4" w14:paraId="3DE5595C" w14:textId="77777777">
        <w:trPr>
          <w:trHeight w:val="152"/>
        </w:trPr>
        <w:tc>
          <w:tcPr>
            <w:tcW w:w="1526" w:type="dxa"/>
            <w:vAlign w:val="center"/>
          </w:tcPr>
          <w:p w14:paraId="2F603880" w14:textId="77777777" w:rsidR="004E3AC5" w:rsidRPr="00BE28C4" w:rsidRDefault="00907ADD">
            <w:pPr>
              <w:keepNext/>
              <w:autoSpaceDE w:val="0"/>
              <w:autoSpaceDN w:val="0"/>
              <w:adjustRightInd w:val="0"/>
              <w:spacing w:line="240" w:lineRule="auto"/>
              <w:rPr>
                <w:szCs w:val="22"/>
              </w:rPr>
            </w:pPr>
            <w:r w:rsidRPr="00BE28C4">
              <w:rPr>
                <w:szCs w:val="22"/>
              </w:rPr>
              <w:t>Wyjściowa masa ciała (kg)</w:t>
            </w:r>
          </w:p>
        </w:tc>
        <w:tc>
          <w:tcPr>
            <w:tcW w:w="837" w:type="dxa"/>
            <w:vAlign w:val="center"/>
          </w:tcPr>
          <w:p w14:paraId="19644418" w14:textId="77777777" w:rsidR="004E3AC5" w:rsidRPr="00BE28C4" w:rsidRDefault="00907ADD">
            <w:pPr>
              <w:keepNext/>
              <w:autoSpaceDE w:val="0"/>
              <w:autoSpaceDN w:val="0"/>
              <w:adjustRightInd w:val="0"/>
              <w:spacing w:line="240" w:lineRule="auto"/>
              <w:jc w:val="center"/>
              <w:rPr>
                <w:szCs w:val="22"/>
              </w:rPr>
            </w:pPr>
            <w:r w:rsidRPr="00BE28C4">
              <w:rPr>
                <w:szCs w:val="22"/>
              </w:rPr>
              <w:t>99,8</w:t>
            </w:r>
          </w:p>
        </w:tc>
        <w:tc>
          <w:tcPr>
            <w:tcW w:w="1001" w:type="dxa"/>
            <w:vAlign w:val="center"/>
          </w:tcPr>
          <w:p w14:paraId="36950C09" w14:textId="77777777" w:rsidR="004E3AC5" w:rsidRPr="00BE28C4" w:rsidRDefault="00907ADD">
            <w:pPr>
              <w:keepNext/>
              <w:autoSpaceDE w:val="0"/>
              <w:autoSpaceDN w:val="0"/>
              <w:adjustRightInd w:val="0"/>
              <w:spacing w:line="240" w:lineRule="auto"/>
              <w:jc w:val="center"/>
              <w:rPr>
                <w:szCs w:val="22"/>
              </w:rPr>
            </w:pPr>
            <w:r w:rsidRPr="00BE28C4">
              <w:rPr>
                <w:szCs w:val="22"/>
              </w:rPr>
              <w:t>99,2</w:t>
            </w:r>
          </w:p>
        </w:tc>
        <w:tc>
          <w:tcPr>
            <w:tcW w:w="991" w:type="dxa"/>
            <w:vAlign w:val="center"/>
          </w:tcPr>
          <w:p w14:paraId="0EFB7B68" w14:textId="77777777" w:rsidR="004E3AC5" w:rsidRPr="00BE28C4" w:rsidRDefault="00907ADD">
            <w:pPr>
              <w:keepNext/>
              <w:autoSpaceDE w:val="0"/>
              <w:autoSpaceDN w:val="0"/>
              <w:adjustRightInd w:val="0"/>
              <w:spacing w:line="240" w:lineRule="auto"/>
              <w:jc w:val="center"/>
              <w:rPr>
                <w:szCs w:val="22"/>
              </w:rPr>
            </w:pPr>
            <w:r w:rsidRPr="00BE28C4">
              <w:rPr>
                <w:szCs w:val="22"/>
              </w:rPr>
              <w:t>101,2</w:t>
            </w:r>
          </w:p>
        </w:tc>
        <w:tc>
          <w:tcPr>
            <w:tcW w:w="998" w:type="dxa"/>
            <w:vAlign w:val="center"/>
          </w:tcPr>
          <w:p w14:paraId="60B9F8DB" w14:textId="77777777" w:rsidR="004E3AC5" w:rsidRPr="00BE28C4" w:rsidRDefault="00907ADD">
            <w:pPr>
              <w:keepNext/>
              <w:autoSpaceDE w:val="0"/>
              <w:autoSpaceDN w:val="0"/>
              <w:adjustRightInd w:val="0"/>
              <w:spacing w:line="240" w:lineRule="auto"/>
              <w:jc w:val="center"/>
              <w:rPr>
                <w:szCs w:val="22"/>
              </w:rPr>
            </w:pPr>
            <w:r w:rsidRPr="00BE28C4">
              <w:rPr>
                <w:szCs w:val="22"/>
              </w:rPr>
              <w:t>100,4</w:t>
            </w:r>
          </w:p>
        </w:tc>
        <w:tc>
          <w:tcPr>
            <w:tcW w:w="991" w:type="dxa"/>
            <w:vAlign w:val="center"/>
          </w:tcPr>
          <w:p w14:paraId="598CCC9D" w14:textId="77777777" w:rsidR="004E3AC5" w:rsidRPr="00BE28C4" w:rsidRDefault="00907ADD">
            <w:pPr>
              <w:keepNext/>
              <w:autoSpaceDE w:val="0"/>
              <w:autoSpaceDN w:val="0"/>
              <w:adjustRightInd w:val="0"/>
              <w:spacing w:line="240" w:lineRule="auto"/>
              <w:jc w:val="center"/>
              <w:rPr>
                <w:szCs w:val="22"/>
              </w:rPr>
            </w:pPr>
            <w:r w:rsidRPr="00BE28C4">
              <w:rPr>
                <w:szCs w:val="22"/>
              </w:rPr>
              <w:t>107,0</w:t>
            </w:r>
          </w:p>
        </w:tc>
        <w:tc>
          <w:tcPr>
            <w:tcW w:w="998" w:type="dxa"/>
            <w:vAlign w:val="center"/>
          </w:tcPr>
          <w:p w14:paraId="099281D3" w14:textId="77777777" w:rsidR="004E3AC5" w:rsidRPr="00BE28C4" w:rsidRDefault="00907ADD">
            <w:pPr>
              <w:keepNext/>
              <w:autoSpaceDE w:val="0"/>
              <w:autoSpaceDN w:val="0"/>
              <w:adjustRightInd w:val="0"/>
              <w:spacing w:line="240" w:lineRule="auto"/>
              <w:jc w:val="center"/>
              <w:rPr>
                <w:szCs w:val="22"/>
              </w:rPr>
            </w:pPr>
            <w:r w:rsidRPr="00BE28C4">
              <w:rPr>
                <w:szCs w:val="22"/>
              </w:rPr>
              <w:t>105,1</w:t>
            </w:r>
          </w:p>
        </w:tc>
        <w:tc>
          <w:tcPr>
            <w:tcW w:w="989" w:type="dxa"/>
            <w:vAlign w:val="center"/>
          </w:tcPr>
          <w:p w14:paraId="548B2683" w14:textId="77777777" w:rsidR="004E3AC5" w:rsidRPr="00BE28C4" w:rsidRDefault="00907ADD">
            <w:pPr>
              <w:keepNext/>
              <w:autoSpaceDE w:val="0"/>
              <w:autoSpaceDN w:val="0"/>
              <w:adjustRightInd w:val="0"/>
              <w:spacing w:line="240" w:lineRule="auto"/>
              <w:jc w:val="center"/>
              <w:rPr>
                <w:szCs w:val="22"/>
              </w:rPr>
            </w:pPr>
            <w:r w:rsidRPr="00BE28C4">
              <w:rPr>
                <w:szCs w:val="22"/>
              </w:rPr>
              <w:t>101,2</w:t>
            </w:r>
          </w:p>
        </w:tc>
        <w:tc>
          <w:tcPr>
            <w:tcW w:w="963" w:type="dxa"/>
            <w:vAlign w:val="center"/>
          </w:tcPr>
          <w:p w14:paraId="79514588" w14:textId="77777777" w:rsidR="004E3AC5" w:rsidRPr="00BE28C4" w:rsidRDefault="00907ADD">
            <w:pPr>
              <w:keepNext/>
              <w:autoSpaceDE w:val="0"/>
              <w:autoSpaceDN w:val="0"/>
              <w:adjustRightInd w:val="0"/>
              <w:spacing w:line="240" w:lineRule="auto"/>
              <w:jc w:val="center"/>
              <w:rPr>
                <w:szCs w:val="22"/>
              </w:rPr>
            </w:pPr>
            <w:r w:rsidRPr="00BE28C4">
              <w:rPr>
                <w:szCs w:val="22"/>
              </w:rPr>
              <w:t>99,0</w:t>
            </w:r>
          </w:p>
        </w:tc>
      </w:tr>
      <w:tr w:rsidR="004E3AC5" w:rsidRPr="00BE28C4" w14:paraId="5181F5A1" w14:textId="77777777">
        <w:trPr>
          <w:trHeight w:val="152"/>
        </w:trPr>
        <w:tc>
          <w:tcPr>
            <w:tcW w:w="1526" w:type="dxa"/>
            <w:tcBorders>
              <w:bottom w:val="single" w:sz="4" w:space="0" w:color="auto"/>
            </w:tcBorders>
            <w:vAlign w:val="center"/>
          </w:tcPr>
          <w:p w14:paraId="22A1E814" w14:textId="77777777" w:rsidR="004E3AC5" w:rsidRPr="00BE28C4" w:rsidRDefault="00907ADD">
            <w:pPr>
              <w:keepNext/>
              <w:autoSpaceDE w:val="0"/>
              <w:autoSpaceDN w:val="0"/>
              <w:adjustRightInd w:val="0"/>
              <w:spacing w:line="240" w:lineRule="auto"/>
              <w:rPr>
                <w:szCs w:val="22"/>
              </w:rPr>
            </w:pPr>
            <w:r w:rsidRPr="00BE28C4">
              <w:rPr>
                <w:szCs w:val="22"/>
              </w:rPr>
              <w:t>Średnia procentowa zmiana wyjściowej masy ciała wyliczona metodą najmniejszych kwadratów</w:t>
            </w:r>
          </w:p>
          <w:p w14:paraId="38510FF2" w14:textId="77777777" w:rsidR="004E3AC5" w:rsidRPr="00BE28C4" w:rsidRDefault="00907ADD">
            <w:pPr>
              <w:keepNext/>
              <w:tabs>
                <w:tab w:val="left" w:pos="-720"/>
                <w:tab w:val="left" w:pos="4536"/>
              </w:tabs>
              <w:suppressAutoHyphens/>
              <w:autoSpaceDE w:val="0"/>
              <w:autoSpaceDN w:val="0"/>
              <w:adjustRightInd w:val="0"/>
              <w:spacing w:line="240" w:lineRule="auto"/>
              <w:jc w:val="both"/>
              <w:outlineLvl w:val="6"/>
              <w:rPr>
                <w:szCs w:val="22"/>
              </w:rPr>
            </w:pPr>
            <w:r w:rsidRPr="00BE28C4">
              <w:rPr>
                <w:szCs w:val="22"/>
              </w:rPr>
              <w:t>(95% CI)</w:t>
            </w:r>
          </w:p>
        </w:tc>
        <w:tc>
          <w:tcPr>
            <w:tcW w:w="837" w:type="dxa"/>
            <w:tcBorders>
              <w:bottom w:val="single" w:sz="4" w:space="0" w:color="auto"/>
            </w:tcBorders>
            <w:vAlign w:val="center"/>
          </w:tcPr>
          <w:p w14:paraId="18DD9819" w14:textId="77777777" w:rsidR="004E3AC5" w:rsidRPr="00BE28C4" w:rsidRDefault="00907ADD">
            <w:pPr>
              <w:keepNext/>
              <w:autoSpaceDE w:val="0"/>
              <w:autoSpaceDN w:val="0"/>
              <w:adjustRightInd w:val="0"/>
              <w:spacing w:line="240" w:lineRule="auto"/>
              <w:jc w:val="center"/>
              <w:rPr>
                <w:szCs w:val="22"/>
              </w:rPr>
            </w:pPr>
            <w:r w:rsidRPr="00BE28C4">
              <w:rPr>
                <w:szCs w:val="22"/>
              </w:rPr>
              <w:t>-8,1</w:t>
            </w:r>
          </w:p>
          <w:p w14:paraId="0820C11D" w14:textId="77777777" w:rsidR="004E3AC5" w:rsidRPr="00BE28C4" w:rsidRDefault="00907ADD">
            <w:pPr>
              <w:keepNext/>
              <w:autoSpaceDE w:val="0"/>
              <w:autoSpaceDN w:val="0"/>
              <w:adjustRightInd w:val="0"/>
              <w:spacing w:line="240" w:lineRule="auto"/>
              <w:jc w:val="center"/>
              <w:rPr>
                <w:szCs w:val="22"/>
              </w:rPr>
            </w:pPr>
            <w:r w:rsidRPr="00BE28C4">
              <w:rPr>
                <w:szCs w:val="22"/>
              </w:rPr>
              <w:t>(</w:t>
            </w:r>
            <w:r w:rsidRPr="00BE28C4">
              <w:rPr>
                <w:szCs w:val="22"/>
              </w:rPr>
              <w:noBreakHyphen/>
              <w:t xml:space="preserve">9,0; </w:t>
            </w:r>
            <w:r w:rsidRPr="00BE28C4">
              <w:rPr>
                <w:szCs w:val="22"/>
              </w:rPr>
              <w:noBreakHyphen/>
              <w:t>7,2)</w:t>
            </w:r>
          </w:p>
        </w:tc>
        <w:tc>
          <w:tcPr>
            <w:tcW w:w="1001" w:type="dxa"/>
            <w:tcBorders>
              <w:bottom w:val="single" w:sz="4" w:space="0" w:color="auto"/>
            </w:tcBorders>
            <w:vAlign w:val="center"/>
          </w:tcPr>
          <w:p w14:paraId="6B9D3AB1" w14:textId="77777777" w:rsidR="004E3AC5" w:rsidRPr="00BE28C4" w:rsidRDefault="00907ADD">
            <w:pPr>
              <w:keepNext/>
              <w:autoSpaceDE w:val="0"/>
              <w:autoSpaceDN w:val="0"/>
              <w:adjustRightInd w:val="0"/>
              <w:spacing w:line="240" w:lineRule="auto"/>
              <w:jc w:val="center"/>
              <w:rPr>
                <w:szCs w:val="22"/>
              </w:rPr>
            </w:pPr>
            <w:r w:rsidRPr="00BE28C4">
              <w:rPr>
                <w:szCs w:val="22"/>
              </w:rPr>
              <w:t>-1,8</w:t>
            </w:r>
          </w:p>
          <w:p w14:paraId="09E18B3F" w14:textId="77777777" w:rsidR="004E3AC5" w:rsidRPr="00BE28C4" w:rsidRDefault="00907ADD">
            <w:pPr>
              <w:keepNext/>
              <w:autoSpaceDE w:val="0"/>
              <w:autoSpaceDN w:val="0"/>
              <w:adjustRightInd w:val="0"/>
              <w:spacing w:line="240" w:lineRule="auto"/>
              <w:jc w:val="center"/>
              <w:rPr>
                <w:szCs w:val="22"/>
              </w:rPr>
            </w:pPr>
            <w:r w:rsidRPr="00BE28C4">
              <w:rPr>
                <w:szCs w:val="22"/>
              </w:rPr>
              <w:t>(</w:t>
            </w:r>
            <w:r w:rsidRPr="00BE28C4">
              <w:rPr>
                <w:szCs w:val="22"/>
              </w:rPr>
              <w:noBreakHyphen/>
              <w:t xml:space="preserve">2,7; </w:t>
            </w:r>
            <w:r w:rsidRPr="00BE28C4">
              <w:rPr>
                <w:szCs w:val="22"/>
              </w:rPr>
              <w:noBreakHyphen/>
              <w:t>0,9)</w:t>
            </w:r>
          </w:p>
        </w:tc>
        <w:tc>
          <w:tcPr>
            <w:tcW w:w="991" w:type="dxa"/>
            <w:tcBorders>
              <w:bottom w:val="single" w:sz="4" w:space="0" w:color="auto"/>
            </w:tcBorders>
            <w:vAlign w:val="center"/>
          </w:tcPr>
          <w:p w14:paraId="2CA79594" w14:textId="77777777" w:rsidR="004E3AC5" w:rsidRPr="00BE28C4" w:rsidRDefault="00907ADD">
            <w:pPr>
              <w:keepNext/>
              <w:autoSpaceDE w:val="0"/>
              <w:autoSpaceDN w:val="0"/>
              <w:adjustRightInd w:val="0"/>
              <w:spacing w:line="240" w:lineRule="auto"/>
              <w:jc w:val="center"/>
              <w:rPr>
                <w:szCs w:val="22"/>
              </w:rPr>
            </w:pPr>
            <w:r w:rsidRPr="00BE28C4">
              <w:rPr>
                <w:szCs w:val="22"/>
              </w:rPr>
              <w:t>-11,5</w:t>
            </w:r>
          </w:p>
          <w:p w14:paraId="34221041" w14:textId="77777777" w:rsidR="004E3AC5" w:rsidRPr="00BE28C4" w:rsidRDefault="00907ADD">
            <w:pPr>
              <w:keepNext/>
              <w:autoSpaceDE w:val="0"/>
              <w:autoSpaceDN w:val="0"/>
              <w:adjustRightInd w:val="0"/>
              <w:spacing w:line="240" w:lineRule="auto"/>
              <w:jc w:val="center"/>
              <w:rPr>
                <w:szCs w:val="22"/>
              </w:rPr>
            </w:pPr>
            <w:r w:rsidRPr="00BE28C4">
              <w:rPr>
                <w:szCs w:val="22"/>
              </w:rPr>
              <w:t>(</w:t>
            </w:r>
            <w:r w:rsidRPr="00BE28C4">
              <w:rPr>
                <w:szCs w:val="22"/>
              </w:rPr>
              <w:noBreakHyphen/>
              <w:t xml:space="preserve">12,6; </w:t>
            </w:r>
            <w:r w:rsidRPr="00BE28C4">
              <w:rPr>
                <w:szCs w:val="22"/>
              </w:rPr>
              <w:noBreakHyphen/>
              <w:t>10,4)</w:t>
            </w:r>
          </w:p>
        </w:tc>
        <w:tc>
          <w:tcPr>
            <w:tcW w:w="998" w:type="dxa"/>
            <w:tcBorders>
              <w:bottom w:val="single" w:sz="4" w:space="0" w:color="auto"/>
            </w:tcBorders>
            <w:vAlign w:val="center"/>
          </w:tcPr>
          <w:p w14:paraId="19D65E04" w14:textId="77777777" w:rsidR="004E3AC5" w:rsidRPr="00BE28C4" w:rsidRDefault="00907ADD">
            <w:pPr>
              <w:keepNext/>
              <w:autoSpaceDE w:val="0"/>
              <w:autoSpaceDN w:val="0"/>
              <w:adjustRightInd w:val="0"/>
              <w:spacing w:line="240" w:lineRule="auto"/>
              <w:jc w:val="center"/>
              <w:rPr>
                <w:szCs w:val="22"/>
              </w:rPr>
            </w:pPr>
            <w:r w:rsidRPr="00BE28C4">
              <w:rPr>
                <w:szCs w:val="22"/>
              </w:rPr>
              <w:t>-7,3</w:t>
            </w:r>
          </w:p>
          <w:p w14:paraId="4FE16F1B" w14:textId="77777777" w:rsidR="004E3AC5" w:rsidRPr="00BE28C4" w:rsidRDefault="00907ADD">
            <w:pPr>
              <w:keepNext/>
              <w:autoSpaceDE w:val="0"/>
              <w:autoSpaceDN w:val="0"/>
              <w:adjustRightInd w:val="0"/>
              <w:spacing w:line="240" w:lineRule="auto"/>
              <w:jc w:val="center"/>
              <w:rPr>
                <w:szCs w:val="22"/>
              </w:rPr>
            </w:pPr>
            <w:r w:rsidRPr="00BE28C4">
              <w:rPr>
                <w:szCs w:val="22"/>
              </w:rPr>
              <w:t>(</w:t>
            </w:r>
            <w:r w:rsidRPr="00BE28C4">
              <w:rPr>
                <w:szCs w:val="22"/>
              </w:rPr>
              <w:noBreakHyphen/>
              <w:t xml:space="preserve">9,0; </w:t>
            </w:r>
            <w:r w:rsidRPr="00BE28C4">
              <w:rPr>
                <w:szCs w:val="22"/>
              </w:rPr>
              <w:noBreakHyphen/>
              <w:t>5,6)</w:t>
            </w:r>
          </w:p>
        </w:tc>
        <w:tc>
          <w:tcPr>
            <w:tcW w:w="991" w:type="dxa"/>
            <w:tcBorders>
              <w:bottom w:val="single" w:sz="4" w:space="0" w:color="auto"/>
            </w:tcBorders>
            <w:vAlign w:val="center"/>
          </w:tcPr>
          <w:p w14:paraId="16704CBB" w14:textId="77777777" w:rsidR="004E3AC5" w:rsidRPr="00BE28C4" w:rsidRDefault="00907ADD">
            <w:pPr>
              <w:keepNext/>
              <w:autoSpaceDE w:val="0"/>
              <w:autoSpaceDN w:val="0"/>
              <w:adjustRightInd w:val="0"/>
              <w:spacing w:line="240" w:lineRule="auto"/>
              <w:jc w:val="center"/>
              <w:rPr>
                <w:szCs w:val="22"/>
              </w:rPr>
            </w:pPr>
            <w:r w:rsidRPr="00BE28C4">
              <w:rPr>
                <w:szCs w:val="22"/>
              </w:rPr>
              <w:t>-5,9</w:t>
            </w:r>
          </w:p>
          <w:p w14:paraId="6D3C6751" w14:textId="77777777" w:rsidR="004E3AC5" w:rsidRPr="00BE28C4" w:rsidRDefault="00907ADD">
            <w:pPr>
              <w:keepNext/>
              <w:autoSpaceDE w:val="0"/>
              <w:autoSpaceDN w:val="0"/>
              <w:adjustRightInd w:val="0"/>
              <w:spacing w:line="240" w:lineRule="auto"/>
              <w:jc w:val="center"/>
              <w:rPr>
                <w:szCs w:val="22"/>
              </w:rPr>
            </w:pPr>
            <w:r w:rsidRPr="00BE28C4">
              <w:rPr>
                <w:szCs w:val="22"/>
              </w:rPr>
              <w:t>(</w:t>
            </w:r>
            <w:r w:rsidRPr="00BE28C4">
              <w:rPr>
                <w:szCs w:val="22"/>
              </w:rPr>
              <w:noBreakHyphen/>
              <w:t xml:space="preserve">6,8; </w:t>
            </w:r>
            <w:r w:rsidRPr="00BE28C4">
              <w:rPr>
                <w:szCs w:val="22"/>
              </w:rPr>
              <w:noBreakHyphen/>
              <w:t>5,0)</w:t>
            </w:r>
          </w:p>
        </w:tc>
        <w:tc>
          <w:tcPr>
            <w:tcW w:w="998" w:type="dxa"/>
            <w:tcBorders>
              <w:bottom w:val="single" w:sz="4" w:space="0" w:color="auto"/>
            </w:tcBorders>
            <w:vAlign w:val="center"/>
          </w:tcPr>
          <w:p w14:paraId="41546FE8" w14:textId="77777777" w:rsidR="004E3AC5" w:rsidRPr="00BE28C4" w:rsidRDefault="00907ADD">
            <w:pPr>
              <w:keepNext/>
              <w:autoSpaceDE w:val="0"/>
              <w:autoSpaceDN w:val="0"/>
              <w:adjustRightInd w:val="0"/>
              <w:spacing w:line="240" w:lineRule="auto"/>
              <w:jc w:val="center"/>
              <w:rPr>
                <w:szCs w:val="22"/>
              </w:rPr>
            </w:pPr>
            <w:r w:rsidRPr="00BE28C4">
              <w:rPr>
                <w:szCs w:val="22"/>
              </w:rPr>
              <w:t>-2,2</w:t>
            </w:r>
          </w:p>
          <w:p w14:paraId="5F55FD42" w14:textId="77777777" w:rsidR="004E3AC5" w:rsidRPr="00BE28C4" w:rsidRDefault="00907ADD">
            <w:pPr>
              <w:keepNext/>
              <w:autoSpaceDE w:val="0"/>
              <w:autoSpaceDN w:val="0"/>
              <w:adjustRightInd w:val="0"/>
              <w:spacing w:line="240" w:lineRule="auto"/>
              <w:jc w:val="center"/>
              <w:rPr>
                <w:szCs w:val="22"/>
              </w:rPr>
            </w:pPr>
            <w:r w:rsidRPr="00BE28C4">
              <w:rPr>
                <w:szCs w:val="22"/>
              </w:rPr>
              <w:t>(</w:t>
            </w:r>
            <w:r w:rsidRPr="00BE28C4">
              <w:rPr>
                <w:szCs w:val="22"/>
              </w:rPr>
              <w:noBreakHyphen/>
              <w:t xml:space="preserve">3,4; </w:t>
            </w:r>
            <w:r w:rsidRPr="00BE28C4">
              <w:rPr>
                <w:szCs w:val="22"/>
              </w:rPr>
              <w:noBreakHyphen/>
              <w:t>1,0)</w:t>
            </w:r>
          </w:p>
        </w:tc>
        <w:tc>
          <w:tcPr>
            <w:tcW w:w="989" w:type="dxa"/>
            <w:tcBorders>
              <w:bottom w:val="single" w:sz="4" w:space="0" w:color="auto"/>
            </w:tcBorders>
            <w:vAlign w:val="center"/>
          </w:tcPr>
          <w:p w14:paraId="00E1AEFD" w14:textId="77777777" w:rsidR="004E3AC5" w:rsidRPr="00BE28C4" w:rsidRDefault="00907ADD">
            <w:pPr>
              <w:keepNext/>
              <w:autoSpaceDE w:val="0"/>
              <w:autoSpaceDN w:val="0"/>
              <w:adjustRightInd w:val="0"/>
              <w:spacing w:line="240" w:lineRule="auto"/>
              <w:jc w:val="center"/>
              <w:rPr>
                <w:szCs w:val="22"/>
              </w:rPr>
            </w:pPr>
            <w:r w:rsidRPr="00BE28C4">
              <w:rPr>
                <w:szCs w:val="22"/>
              </w:rPr>
              <w:t>-7,8</w:t>
            </w:r>
          </w:p>
          <w:p w14:paraId="6D02C380" w14:textId="77777777" w:rsidR="004E3AC5" w:rsidRPr="00BE28C4" w:rsidRDefault="00907ADD">
            <w:pPr>
              <w:keepNext/>
              <w:autoSpaceDE w:val="0"/>
              <w:autoSpaceDN w:val="0"/>
              <w:adjustRightInd w:val="0"/>
              <w:spacing w:line="240" w:lineRule="auto"/>
              <w:jc w:val="center"/>
              <w:rPr>
                <w:szCs w:val="22"/>
              </w:rPr>
            </w:pPr>
            <w:r w:rsidRPr="00BE28C4">
              <w:rPr>
                <w:szCs w:val="22"/>
              </w:rPr>
              <w:t>(</w:t>
            </w:r>
            <w:r w:rsidRPr="00BE28C4">
              <w:rPr>
                <w:szCs w:val="22"/>
              </w:rPr>
              <w:noBreakHyphen/>
              <w:t xml:space="preserve">8,3; </w:t>
            </w:r>
            <w:r w:rsidRPr="00BE28C4">
              <w:rPr>
                <w:szCs w:val="22"/>
              </w:rPr>
              <w:noBreakHyphen/>
              <w:t>7,3)</w:t>
            </w:r>
          </w:p>
        </w:tc>
        <w:tc>
          <w:tcPr>
            <w:tcW w:w="963" w:type="dxa"/>
            <w:tcBorders>
              <w:bottom w:val="single" w:sz="4" w:space="0" w:color="auto"/>
            </w:tcBorders>
            <w:vAlign w:val="center"/>
          </w:tcPr>
          <w:p w14:paraId="1E12EA0F" w14:textId="77777777" w:rsidR="004E3AC5" w:rsidRPr="00BE28C4" w:rsidRDefault="00907ADD">
            <w:pPr>
              <w:keepNext/>
              <w:autoSpaceDE w:val="0"/>
              <w:autoSpaceDN w:val="0"/>
              <w:adjustRightInd w:val="0"/>
              <w:spacing w:line="240" w:lineRule="auto"/>
              <w:jc w:val="center"/>
              <w:rPr>
                <w:szCs w:val="22"/>
              </w:rPr>
            </w:pPr>
            <w:r w:rsidRPr="00BE28C4">
              <w:rPr>
                <w:szCs w:val="22"/>
              </w:rPr>
              <w:t>-2,4</w:t>
            </w:r>
          </w:p>
          <w:p w14:paraId="56A9F752" w14:textId="77777777" w:rsidR="004E3AC5" w:rsidRPr="00BE28C4" w:rsidRDefault="00907ADD">
            <w:pPr>
              <w:keepNext/>
              <w:autoSpaceDE w:val="0"/>
              <w:autoSpaceDN w:val="0"/>
              <w:adjustRightInd w:val="0"/>
              <w:spacing w:line="240" w:lineRule="auto"/>
              <w:jc w:val="center"/>
              <w:rPr>
                <w:szCs w:val="22"/>
              </w:rPr>
            </w:pPr>
            <w:r w:rsidRPr="00BE28C4">
              <w:rPr>
                <w:szCs w:val="22"/>
              </w:rPr>
              <w:t>(</w:t>
            </w:r>
            <w:r w:rsidRPr="00BE28C4">
              <w:rPr>
                <w:szCs w:val="22"/>
              </w:rPr>
              <w:noBreakHyphen/>
              <w:t xml:space="preserve">3,0; </w:t>
            </w:r>
            <w:r w:rsidRPr="00BE28C4">
              <w:rPr>
                <w:szCs w:val="22"/>
              </w:rPr>
              <w:noBreakHyphen/>
              <w:t>1,8)</w:t>
            </w:r>
          </w:p>
        </w:tc>
      </w:tr>
      <w:tr w:rsidR="004E3AC5" w:rsidRPr="00BE28C4" w14:paraId="745D01D1" w14:textId="77777777">
        <w:trPr>
          <w:trHeight w:val="160"/>
        </w:trPr>
        <w:tc>
          <w:tcPr>
            <w:tcW w:w="9294" w:type="dxa"/>
            <w:gridSpan w:val="9"/>
            <w:tcBorders>
              <w:left w:val="nil"/>
              <w:bottom w:val="nil"/>
              <w:right w:val="nil"/>
            </w:tcBorders>
            <w:vAlign w:val="center"/>
          </w:tcPr>
          <w:p w14:paraId="01B91076" w14:textId="77777777" w:rsidR="004E3AC5" w:rsidRPr="00BE28C4" w:rsidRDefault="00907ADD">
            <w:pPr>
              <w:keepNext/>
              <w:tabs>
                <w:tab w:val="left" w:pos="-720"/>
                <w:tab w:val="left" w:pos="270"/>
                <w:tab w:val="left" w:pos="4536"/>
              </w:tabs>
              <w:suppressAutoHyphens/>
              <w:autoSpaceDE w:val="0"/>
              <w:autoSpaceDN w:val="0"/>
              <w:adjustRightInd w:val="0"/>
              <w:spacing w:line="240" w:lineRule="auto"/>
              <w:jc w:val="both"/>
              <w:outlineLvl w:val="6"/>
              <w:rPr>
                <w:szCs w:val="22"/>
              </w:rPr>
            </w:pPr>
            <w:r w:rsidRPr="00BE28C4">
              <w:rPr>
                <w:szCs w:val="22"/>
              </w:rPr>
              <w:t>CI — przedział ufności. Granice 95% przedziałów ufności wyliczono z następującego wzoru: średnia wyliczona metodą najmniejszych kwadratów ± 1.96 x błąd standardowy.</w:t>
            </w:r>
          </w:p>
          <w:p w14:paraId="33B932B8" w14:textId="77777777" w:rsidR="004E3AC5" w:rsidRPr="00BE28C4" w:rsidRDefault="00907ADD">
            <w:pPr>
              <w:keepNext/>
              <w:tabs>
                <w:tab w:val="left" w:pos="270"/>
              </w:tabs>
              <w:autoSpaceDE w:val="0"/>
              <w:autoSpaceDN w:val="0"/>
              <w:adjustRightInd w:val="0"/>
              <w:spacing w:line="240" w:lineRule="auto"/>
              <w:rPr>
                <w:szCs w:val="22"/>
              </w:rPr>
            </w:pPr>
            <w:r w:rsidRPr="00BE28C4">
              <w:rPr>
                <w:szCs w:val="22"/>
                <w:vertAlign w:val="superscript"/>
              </w:rPr>
              <w:t>+</w:t>
            </w:r>
            <w:r w:rsidRPr="00BE28C4">
              <w:rPr>
                <w:szCs w:val="22"/>
              </w:rPr>
              <w:tab/>
              <w:t>Pacjenci poddani randomizacji z dostępnym wynikiem pomiaru masy ciała wykonanego podczas wizyty wyjściowej i podczas co najmniej jednej późniejszej wizyty w fazie leczenia. Wyniki uzyskane z zastosowaniem metody LOCF polegającej na zastępowaniu brakującej wartości danego parametru wartością poprzedzającą.</w:t>
            </w:r>
          </w:p>
          <w:p w14:paraId="62DB8AFF" w14:textId="77777777" w:rsidR="004E3AC5" w:rsidRPr="00BE28C4" w:rsidRDefault="00907ADD">
            <w:pPr>
              <w:keepNext/>
              <w:tabs>
                <w:tab w:val="left" w:pos="270"/>
              </w:tabs>
              <w:autoSpaceDE w:val="0"/>
              <w:autoSpaceDN w:val="0"/>
              <w:adjustRightInd w:val="0"/>
              <w:spacing w:line="240" w:lineRule="auto"/>
              <w:rPr>
                <w:szCs w:val="22"/>
              </w:rPr>
            </w:pPr>
            <w:r w:rsidRPr="00BE28C4">
              <w:rPr>
                <w:szCs w:val="22"/>
                <w:vertAlign w:val="superscript"/>
              </w:rPr>
              <w:t>++</w:t>
            </w:r>
            <w:r w:rsidRPr="00BE28C4">
              <w:rPr>
                <w:szCs w:val="22"/>
              </w:rPr>
              <w:tab/>
              <w:t>Pacjenci z dostępnym wynikiem pomiaru masy ciała wykonanego podczas wizyty wyjściowej i podczas dowolnej późniejszej wizyty, którzy odbyli 56 tygodni leczenia (w przypadku badań NB</w:t>
            </w:r>
            <w:r w:rsidRPr="00BE28C4">
              <w:rPr>
                <w:szCs w:val="22"/>
              </w:rPr>
              <w:noBreakHyphen/>
              <w:t>301, NB</w:t>
            </w:r>
            <w:r w:rsidRPr="00BE28C4">
              <w:rPr>
                <w:szCs w:val="22"/>
              </w:rPr>
              <w:noBreakHyphen/>
              <w:t>302 i NB</w:t>
            </w:r>
            <w:r w:rsidRPr="00BE28C4">
              <w:rPr>
                <w:szCs w:val="22"/>
              </w:rPr>
              <w:noBreakHyphen/>
              <w:t>304) lub 28 tygodni leczenia (w przypadku badania NB</w:t>
            </w:r>
            <w:r w:rsidRPr="00BE28C4">
              <w:rPr>
                <w:szCs w:val="22"/>
              </w:rPr>
              <w:noBreakHyphen/>
              <w:t xml:space="preserve">303). </w:t>
            </w:r>
          </w:p>
          <w:p w14:paraId="1B70346D" w14:textId="77777777" w:rsidR="004E3AC5" w:rsidRPr="00BE28C4" w:rsidRDefault="00907ADD">
            <w:pPr>
              <w:keepNext/>
              <w:tabs>
                <w:tab w:val="left" w:pos="270"/>
              </w:tabs>
              <w:autoSpaceDE w:val="0"/>
              <w:autoSpaceDN w:val="0"/>
              <w:adjustRightInd w:val="0"/>
              <w:spacing w:line="240" w:lineRule="auto"/>
              <w:rPr>
                <w:szCs w:val="22"/>
              </w:rPr>
            </w:pPr>
            <w:r w:rsidRPr="00BE28C4">
              <w:rPr>
                <w:szCs w:val="22"/>
              </w:rPr>
              <w:t>*</w:t>
            </w:r>
            <w:r w:rsidRPr="00BE28C4">
              <w:rPr>
                <w:szCs w:val="22"/>
              </w:rPr>
              <w:tab/>
              <w:t>Dla porównania z placebo — p &lt; 0,001.</w:t>
            </w:r>
          </w:p>
          <w:p w14:paraId="3A9800A1" w14:textId="77777777" w:rsidR="004E3AC5" w:rsidRPr="00BE28C4" w:rsidRDefault="00907ADD">
            <w:pPr>
              <w:keepNext/>
              <w:tabs>
                <w:tab w:val="left" w:pos="270"/>
              </w:tabs>
              <w:autoSpaceDE w:val="0"/>
              <w:autoSpaceDN w:val="0"/>
              <w:adjustRightInd w:val="0"/>
              <w:spacing w:line="240" w:lineRule="auto"/>
              <w:rPr>
                <w:szCs w:val="22"/>
              </w:rPr>
            </w:pPr>
            <w:r w:rsidRPr="00BE28C4">
              <w:rPr>
                <w:szCs w:val="22"/>
              </w:rPr>
              <w:t>Badania NB</w:t>
            </w:r>
            <w:r w:rsidRPr="00BE28C4">
              <w:rPr>
                <w:szCs w:val="22"/>
              </w:rPr>
              <w:noBreakHyphen/>
              <w:t>301, NB</w:t>
            </w:r>
            <w:r w:rsidRPr="00BE28C4">
              <w:rPr>
                <w:szCs w:val="22"/>
              </w:rPr>
              <w:noBreakHyphen/>
              <w:t>302 i NB</w:t>
            </w:r>
            <w:r w:rsidRPr="00BE28C4">
              <w:rPr>
                <w:szCs w:val="22"/>
              </w:rPr>
              <w:noBreakHyphen/>
              <w:t>303 przeprowadzono z udziałem pacjentów z otyłością bez chorób towarzyszących lub pacjentów z nadwagą lub otyłością i chorobami towarzyszącymi. W badaniu NB</w:t>
            </w:r>
            <w:r w:rsidRPr="00BE28C4">
              <w:rPr>
                <w:szCs w:val="22"/>
              </w:rPr>
              <w:noBreakHyphen/>
              <w:t>302 stosowano bardziej intensywny program zmian zachowania, natomiast w badaniu NB</w:t>
            </w:r>
            <w:r w:rsidRPr="00BE28C4">
              <w:rPr>
                <w:szCs w:val="22"/>
              </w:rPr>
              <w:noBreakHyphen/>
              <w:t>303 ocena pierwszorzędowego punktu końcowego następowała w 28. tygodniu, aby umożliwić ponowną randomizację do grup różniących się stosowanymi dawkami przez pozostały okres badania. Badanie NB</w:t>
            </w:r>
            <w:r w:rsidRPr="00BE28C4">
              <w:rPr>
                <w:szCs w:val="22"/>
              </w:rPr>
              <w:noBreakHyphen/>
              <w:t>304 przeprowadzono z udziałem pacjentów z nadwagą lub otyłością oraz cukrzycą typu 2.</w:t>
            </w:r>
          </w:p>
        </w:tc>
      </w:tr>
    </w:tbl>
    <w:p w14:paraId="2F1BAD42" w14:textId="77777777" w:rsidR="004E3AC5" w:rsidRPr="00BE28C4" w:rsidRDefault="004E3AC5">
      <w:pPr>
        <w:autoSpaceDE w:val="0"/>
        <w:autoSpaceDN w:val="0"/>
        <w:adjustRightInd w:val="0"/>
        <w:spacing w:line="240" w:lineRule="auto"/>
        <w:rPr>
          <w:szCs w:val="22"/>
        </w:rPr>
      </w:pPr>
    </w:p>
    <w:p w14:paraId="53D27A0B" w14:textId="094CB2F9" w:rsidR="004E3AC5" w:rsidRPr="00BE28C4" w:rsidRDefault="00907ADD">
      <w:pPr>
        <w:autoSpaceDE w:val="0"/>
        <w:autoSpaceDN w:val="0"/>
        <w:adjustRightInd w:val="0"/>
        <w:spacing w:line="240" w:lineRule="auto"/>
        <w:rPr>
          <w:szCs w:val="22"/>
        </w:rPr>
      </w:pPr>
      <w:r w:rsidRPr="00BE28C4">
        <w:rPr>
          <w:szCs w:val="22"/>
        </w:rPr>
        <w:lastRenderedPageBreak/>
        <w:t>Odsetek pacjentów z co najmniej 5</w:t>
      </w:r>
      <w:r w:rsidRPr="00BE28C4">
        <w:rPr>
          <w:szCs w:val="22"/>
        </w:rPr>
        <w:noBreakHyphen/>
        <w:t>procentową i co najmniej 10</w:t>
      </w:r>
      <w:r w:rsidRPr="00BE28C4">
        <w:rPr>
          <w:szCs w:val="22"/>
        </w:rPr>
        <w:noBreakHyphen/>
        <w:t xml:space="preserve">procentową redukcją wyjściowej masy ciała był większy w przypadku stosowania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niż w przypadku stosowania placebo we wszystkich czterech badaniach III fazy dotyczących otyłości (tabela 4).</w:t>
      </w:r>
    </w:p>
    <w:p w14:paraId="4CA0D342" w14:textId="77777777" w:rsidR="004E3AC5" w:rsidRPr="00BE28C4" w:rsidRDefault="004E3AC5">
      <w:pPr>
        <w:autoSpaceDE w:val="0"/>
        <w:autoSpaceDN w:val="0"/>
        <w:adjustRightInd w:val="0"/>
        <w:spacing w:line="240" w:lineRule="auto"/>
        <w:rPr>
          <w:szCs w:val="22"/>
        </w:rPr>
      </w:pPr>
    </w:p>
    <w:p w14:paraId="50D56DF5" w14:textId="77777777" w:rsidR="004E3AC5" w:rsidRPr="00BE28C4" w:rsidRDefault="00907ADD">
      <w:pPr>
        <w:keepNext/>
        <w:spacing w:line="240" w:lineRule="auto"/>
        <w:rPr>
          <w:b/>
          <w:szCs w:val="22"/>
        </w:rPr>
      </w:pPr>
      <w:r w:rsidRPr="00BE28C4">
        <w:rPr>
          <w:b/>
          <w:szCs w:val="22"/>
        </w:rPr>
        <w:t>Tabela 4. Odsetek pacjentów z co najmniej 5</w:t>
      </w:r>
      <w:r w:rsidRPr="00BE28C4">
        <w:rPr>
          <w:b/>
          <w:szCs w:val="22"/>
        </w:rPr>
        <w:noBreakHyphen/>
        <w:t>procentową i co najmniej 10</w:t>
      </w:r>
      <w:r w:rsidRPr="00BE28C4">
        <w:rPr>
          <w:b/>
          <w:szCs w:val="22"/>
        </w:rPr>
        <w:noBreakHyphen/>
        <w:t>procentową redukcją wyjściowej masy ciała stwierdzoną w 56. tygodniu badań III fazy NB</w:t>
      </w:r>
      <w:r w:rsidRPr="00BE28C4">
        <w:rPr>
          <w:b/>
          <w:szCs w:val="22"/>
        </w:rPr>
        <w:noBreakHyphen/>
        <w:t>301, NB</w:t>
      </w:r>
      <w:r w:rsidRPr="00BE28C4">
        <w:rPr>
          <w:b/>
          <w:szCs w:val="22"/>
        </w:rPr>
        <w:noBreakHyphen/>
        <w:t>302 i NB</w:t>
      </w:r>
      <w:r w:rsidRPr="00BE28C4">
        <w:rPr>
          <w:b/>
          <w:szCs w:val="22"/>
        </w:rPr>
        <w:noBreakHyphen/>
        <w:t>304 oraz w 28. tygodniu badania NB</w:t>
      </w:r>
      <w:r w:rsidRPr="00BE28C4">
        <w:rPr>
          <w:b/>
          <w:szCs w:val="22"/>
        </w:rPr>
        <w:noBreakHyphen/>
        <w:t>303 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992"/>
        <w:gridCol w:w="993"/>
        <w:gridCol w:w="1002"/>
        <w:gridCol w:w="982"/>
        <w:gridCol w:w="1055"/>
        <w:gridCol w:w="930"/>
        <w:gridCol w:w="992"/>
        <w:gridCol w:w="921"/>
      </w:tblGrid>
      <w:tr w:rsidR="004E3AC5" w:rsidRPr="00BE28C4" w14:paraId="3D625758" w14:textId="77777777">
        <w:trPr>
          <w:trHeight w:val="215"/>
          <w:jc w:val="center"/>
        </w:trPr>
        <w:tc>
          <w:tcPr>
            <w:tcW w:w="1420" w:type="dxa"/>
            <w:tcBorders>
              <w:bottom w:val="single" w:sz="4" w:space="0" w:color="auto"/>
            </w:tcBorders>
            <w:vAlign w:val="center"/>
          </w:tcPr>
          <w:p w14:paraId="26E827D2" w14:textId="77777777" w:rsidR="004E3AC5" w:rsidRPr="00BE28C4" w:rsidRDefault="004E3AC5">
            <w:pPr>
              <w:keepNext/>
              <w:keepLines/>
              <w:widowControl w:val="0"/>
              <w:autoSpaceDE w:val="0"/>
              <w:autoSpaceDN w:val="0"/>
              <w:adjustRightInd w:val="0"/>
              <w:spacing w:line="240" w:lineRule="auto"/>
              <w:jc w:val="center"/>
              <w:rPr>
                <w:b/>
                <w:szCs w:val="22"/>
              </w:rPr>
            </w:pPr>
          </w:p>
        </w:tc>
        <w:tc>
          <w:tcPr>
            <w:tcW w:w="5954" w:type="dxa"/>
            <w:gridSpan w:val="6"/>
            <w:tcBorders>
              <w:bottom w:val="single" w:sz="4" w:space="0" w:color="auto"/>
            </w:tcBorders>
            <w:vAlign w:val="center"/>
          </w:tcPr>
          <w:p w14:paraId="334C78A2" w14:textId="77777777" w:rsidR="004E3AC5" w:rsidRPr="00BE28C4" w:rsidRDefault="00907ADD">
            <w:pPr>
              <w:keepNext/>
              <w:keepLines/>
              <w:widowControl w:val="0"/>
              <w:autoSpaceDE w:val="0"/>
              <w:autoSpaceDN w:val="0"/>
              <w:adjustRightInd w:val="0"/>
              <w:spacing w:line="240" w:lineRule="auto"/>
              <w:jc w:val="center"/>
              <w:rPr>
                <w:b/>
                <w:szCs w:val="22"/>
              </w:rPr>
            </w:pPr>
            <w:r w:rsidRPr="00BE28C4">
              <w:rPr>
                <w:b/>
                <w:szCs w:val="22"/>
              </w:rPr>
              <w:t>56. tydzień badania</w:t>
            </w:r>
          </w:p>
        </w:tc>
        <w:tc>
          <w:tcPr>
            <w:tcW w:w="1913" w:type="dxa"/>
            <w:gridSpan w:val="2"/>
            <w:tcBorders>
              <w:bottom w:val="single" w:sz="4" w:space="0" w:color="auto"/>
            </w:tcBorders>
            <w:vAlign w:val="center"/>
          </w:tcPr>
          <w:p w14:paraId="17BCB46C" w14:textId="77777777" w:rsidR="004E3AC5" w:rsidRPr="00BE28C4" w:rsidRDefault="00907ADD">
            <w:pPr>
              <w:keepNext/>
              <w:keepLines/>
              <w:widowControl w:val="0"/>
              <w:autoSpaceDE w:val="0"/>
              <w:autoSpaceDN w:val="0"/>
              <w:adjustRightInd w:val="0"/>
              <w:spacing w:line="240" w:lineRule="auto"/>
              <w:jc w:val="center"/>
              <w:rPr>
                <w:b/>
                <w:szCs w:val="22"/>
              </w:rPr>
            </w:pPr>
            <w:r w:rsidRPr="00BE28C4">
              <w:rPr>
                <w:b/>
                <w:szCs w:val="22"/>
              </w:rPr>
              <w:t>28. tydzień badania</w:t>
            </w:r>
          </w:p>
        </w:tc>
      </w:tr>
      <w:tr w:rsidR="004E3AC5" w:rsidRPr="00BE28C4" w14:paraId="23A94055" w14:textId="77777777">
        <w:trPr>
          <w:trHeight w:val="215"/>
          <w:jc w:val="center"/>
        </w:trPr>
        <w:tc>
          <w:tcPr>
            <w:tcW w:w="1420" w:type="dxa"/>
            <w:vMerge w:val="restart"/>
            <w:tcBorders>
              <w:bottom w:val="single" w:sz="4" w:space="0" w:color="auto"/>
            </w:tcBorders>
            <w:vAlign w:val="center"/>
          </w:tcPr>
          <w:p w14:paraId="00BDA915" w14:textId="77777777" w:rsidR="004E3AC5" w:rsidRPr="00BE28C4" w:rsidRDefault="004E3AC5">
            <w:pPr>
              <w:keepNext/>
              <w:keepLines/>
              <w:widowControl w:val="0"/>
              <w:autoSpaceDE w:val="0"/>
              <w:autoSpaceDN w:val="0"/>
              <w:adjustRightInd w:val="0"/>
              <w:spacing w:line="240" w:lineRule="auto"/>
              <w:jc w:val="center"/>
              <w:rPr>
                <w:b/>
                <w:szCs w:val="22"/>
              </w:rPr>
            </w:pPr>
          </w:p>
        </w:tc>
        <w:tc>
          <w:tcPr>
            <w:tcW w:w="1985" w:type="dxa"/>
            <w:gridSpan w:val="2"/>
            <w:tcBorders>
              <w:bottom w:val="single" w:sz="4" w:space="0" w:color="auto"/>
            </w:tcBorders>
            <w:vAlign w:val="center"/>
          </w:tcPr>
          <w:p w14:paraId="070C4381" w14:textId="77777777" w:rsidR="004E3AC5" w:rsidRPr="00BE28C4" w:rsidRDefault="00907ADD">
            <w:pPr>
              <w:keepNext/>
              <w:keepLines/>
              <w:widowControl w:val="0"/>
              <w:autoSpaceDE w:val="0"/>
              <w:autoSpaceDN w:val="0"/>
              <w:adjustRightInd w:val="0"/>
              <w:spacing w:line="240" w:lineRule="auto"/>
              <w:jc w:val="center"/>
              <w:rPr>
                <w:b/>
                <w:szCs w:val="22"/>
              </w:rPr>
            </w:pPr>
            <w:r w:rsidRPr="00BE28C4">
              <w:rPr>
                <w:b/>
                <w:szCs w:val="22"/>
              </w:rPr>
              <w:t>Badanie</w:t>
            </w:r>
            <w:r w:rsidRPr="00BE28C4">
              <w:rPr>
                <w:b/>
                <w:szCs w:val="22"/>
              </w:rPr>
              <w:br/>
              <w:t>NB-301</w:t>
            </w:r>
          </w:p>
        </w:tc>
        <w:tc>
          <w:tcPr>
            <w:tcW w:w="1984" w:type="dxa"/>
            <w:gridSpan w:val="2"/>
            <w:tcBorders>
              <w:bottom w:val="single" w:sz="4" w:space="0" w:color="auto"/>
            </w:tcBorders>
            <w:vAlign w:val="center"/>
          </w:tcPr>
          <w:p w14:paraId="7C865A2B" w14:textId="77777777" w:rsidR="004E3AC5" w:rsidRPr="00BE28C4" w:rsidRDefault="00907ADD">
            <w:pPr>
              <w:keepNext/>
              <w:keepLines/>
              <w:widowControl w:val="0"/>
              <w:autoSpaceDE w:val="0"/>
              <w:autoSpaceDN w:val="0"/>
              <w:adjustRightInd w:val="0"/>
              <w:spacing w:line="240" w:lineRule="auto"/>
              <w:jc w:val="center"/>
              <w:rPr>
                <w:b/>
                <w:szCs w:val="22"/>
              </w:rPr>
            </w:pPr>
            <w:r w:rsidRPr="00BE28C4">
              <w:rPr>
                <w:b/>
                <w:szCs w:val="22"/>
              </w:rPr>
              <w:t>Badanie</w:t>
            </w:r>
            <w:r w:rsidRPr="00BE28C4">
              <w:rPr>
                <w:b/>
                <w:szCs w:val="22"/>
              </w:rPr>
              <w:br/>
              <w:t>NB-302</w:t>
            </w:r>
          </w:p>
        </w:tc>
        <w:tc>
          <w:tcPr>
            <w:tcW w:w="1985" w:type="dxa"/>
            <w:gridSpan w:val="2"/>
            <w:tcBorders>
              <w:bottom w:val="single" w:sz="4" w:space="0" w:color="auto"/>
            </w:tcBorders>
            <w:vAlign w:val="center"/>
          </w:tcPr>
          <w:p w14:paraId="493E12B4" w14:textId="77777777" w:rsidR="004E3AC5" w:rsidRPr="00BE28C4" w:rsidRDefault="00907ADD">
            <w:pPr>
              <w:keepNext/>
              <w:keepLines/>
              <w:widowControl w:val="0"/>
              <w:autoSpaceDE w:val="0"/>
              <w:autoSpaceDN w:val="0"/>
              <w:adjustRightInd w:val="0"/>
              <w:spacing w:line="240" w:lineRule="auto"/>
              <w:jc w:val="center"/>
              <w:rPr>
                <w:b/>
                <w:szCs w:val="22"/>
              </w:rPr>
            </w:pPr>
            <w:r w:rsidRPr="00BE28C4">
              <w:rPr>
                <w:b/>
                <w:szCs w:val="22"/>
              </w:rPr>
              <w:t>Badanie</w:t>
            </w:r>
            <w:r w:rsidRPr="00BE28C4">
              <w:rPr>
                <w:b/>
                <w:szCs w:val="22"/>
              </w:rPr>
              <w:br/>
              <w:t>NB-304</w:t>
            </w:r>
          </w:p>
        </w:tc>
        <w:tc>
          <w:tcPr>
            <w:tcW w:w="1913" w:type="dxa"/>
            <w:gridSpan w:val="2"/>
            <w:tcBorders>
              <w:bottom w:val="single" w:sz="4" w:space="0" w:color="auto"/>
            </w:tcBorders>
            <w:vAlign w:val="center"/>
          </w:tcPr>
          <w:p w14:paraId="6D6054FC" w14:textId="77777777" w:rsidR="004E3AC5" w:rsidRPr="00BE28C4" w:rsidRDefault="00907ADD">
            <w:pPr>
              <w:keepNext/>
              <w:keepLines/>
              <w:widowControl w:val="0"/>
              <w:autoSpaceDE w:val="0"/>
              <w:autoSpaceDN w:val="0"/>
              <w:adjustRightInd w:val="0"/>
              <w:spacing w:line="240" w:lineRule="auto"/>
              <w:jc w:val="center"/>
              <w:rPr>
                <w:b/>
                <w:szCs w:val="22"/>
              </w:rPr>
            </w:pPr>
            <w:r w:rsidRPr="00BE28C4">
              <w:rPr>
                <w:b/>
                <w:szCs w:val="22"/>
              </w:rPr>
              <w:t>Badanie</w:t>
            </w:r>
            <w:r w:rsidRPr="00BE28C4">
              <w:rPr>
                <w:b/>
                <w:szCs w:val="22"/>
              </w:rPr>
              <w:br/>
              <w:t>NB-303</w:t>
            </w:r>
          </w:p>
        </w:tc>
      </w:tr>
      <w:tr w:rsidR="004E3AC5" w:rsidRPr="00BE28C4" w14:paraId="58664D22" w14:textId="77777777">
        <w:trPr>
          <w:trHeight w:val="123"/>
          <w:jc w:val="center"/>
        </w:trPr>
        <w:tc>
          <w:tcPr>
            <w:tcW w:w="1420" w:type="dxa"/>
            <w:vMerge/>
            <w:tcBorders>
              <w:top w:val="single" w:sz="4" w:space="0" w:color="auto"/>
              <w:bottom w:val="single" w:sz="4" w:space="0" w:color="auto"/>
              <w:right w:val="single" w:sz="4" w:space="0" w:color="auto"/>
            </w:tcBorders>
            <w:vAlign w:val="center"/>
          </w:tcPr>
          <w:p w14:paraId="2F15CF3A" w14:textId="77777777" w:rsidR="004E3AC5" w:rsidRPr="00BE28C4" w:rsidRDefault="004E3AC5">
            <w:pPr>
              <w:keepNext/>
              <w:keepLines/>
              <w:widowControl w:val="0"/>
              <w:autoSpaceDE w:val="0"/>
              <w:autoSpaceDN w:val="0"/>
              <w:adjustRightInd w:val="0"/>
              <w:spacing w:line="240" w:lineRule="auto"/>
              <w:jc w:val="center"/>
              <w:rPr>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2BBAF72" w14:textId="77777777" w:rsidR="004E3AC5" w:rsidRPr="00BE28C4" w:rsidRDefault="00907ADD">
            <w:pPr>
              <w:keepNext/>
              <w:keepLines/>
              <w:widowControl w:val="0"/>
              <w:autoSpaceDE w:val="0"/>
              <w:autoSpaceDN w:val="0"/>
              <w:adjustRightInd w:val="0"/>
              <w:spacing w:line="240" w:lineRule="auto"/>
              <w:jc w:val="center"/>
              <w:rPr>
                <w:b/>
                <w:szCs w:val="22"/>
              </w:rPr>
            </w:pPr>
            <w:r w:rsidRPr="00BE28C4">
              <w:rPr>
                <w:b/>
                <w:szCs w:val="22"/>
              </w:rPr>
              <w:t>NB</w:t>
            </w:r>
          </w:p>
        </w:tc>
        <w:tc>
          <w:tcPr>
            <w:tcW w:w="993" w:type="dxa"/>
            <w:tcBorders>
              <w:top w:val="single" w:sz="4" w:space="0" w:color="auto"/>
              <w:left w:val="single" w:sz="4" w:space="0" w:color="auto"/>
              <w:bottom w:val="single" w:sz="4" w:space="0" w:color="auto"/>
              <w:right w:val="single" w:sz="4" w:space="0" w:color="auto"/>
            </w:tcBorders>
            <w:vAlign w:val="center"/>
          </w:tcPr>
          <w:p w14:paraId="25469E47" w14:textId="77777777" w:rsidR="004E3AC5" w:rsidRPr="00BE28C4" w:rsidRDefault="00907ADD">
            <w:pPr>
              <w:keepNext/>
              <w:keepLines/>
              <w:widowControl w:val="0"/>
              <w:autoSpaceDE w:val="0"/>
              <w:autoSpaceDN w:val="0"/>
              <w:adjustRightInd w:val="0"/>
              <w:spacing w:line="240" w:lineRule="auto"/>
              <w:jc w:val="center"/>
              <w:rPr>
                <w:b/>
                <w:szCs w:val="22"/>
              </w:rPr>
            </w:pPr>
            <w:r w:rsidRPr="00BE28C4">
              <w:rPr>
                <w:b/>
                <w:szCs w:val="22"/>
              </w:rPr>
              <w:t>PBO</w:t>
            </w:r>
          </w:p>
        </w:tc>
        <w:tc>
          <w:tcPr>
            <w:tcW w:w="1002" w:type="dxa"/>
            <w:tcBorders>
              <w:top w:val="single" w:sz="4" w:space="0" w:color="auto"/>
              <w:left w:val="single" w:sz="4" w:space="0" w:color="auto"/>
              <w:bottom w:val="single" w:sz="4" w:space="0" w:color="auto"/>
              <w:right w:val="single" w:sz="4" w:space="0" w:color="auto"/>
            </w:tcBorders>
            <w:vAlign w:val="center"/>
          </w:tcPr>
          <w:p w14:paraId="2132D8FF" w14:textId="77777777" w:rsidR="004E3AC5" w:rsidRPr="00BE28C4" w:rsidRDefault="00907ADD">
            <w:pPr>
              <w:keepNext/>
              <w:keepLines/>
              <w:widowControl w:val="0"/>
              <w:autoSpaceDE w:val="0"/>
              <w:autoSpaceDN w:val="0"/>
              <w:adjustRightInd w:val="0"/>
              <w:spacing w:line="240" w:lineRule="auto"/>
              <w:jc w:val="center"/>
              <w:rPr>
                <w:b/>
                <w:szCs w:val="22"/>
              </w:rPr>
            </w:pPr>
            <w:r w:rsidRPr="00BE28C4">
              <w:rPr>
                <w:b/>
                <w:szCs w:val="22"/>
              </w:rPr>
              <w:t>NB</w:t>
            </w:r>
          </w:p>
        </w:tc>
        <w:tc>
          <w:tcPr>
            <w:tcW w:w="982" w:type="dxa"/>
            <w:tcBorders>
              <w:top w:val="single" w:sz="4" w:space="0" w:color="auto"/>
              <w:left w:val="single" w:sz="4" w:space="0" w:color="auto"/>
              <w:bottom w:val="single" w:sz="4" w:space="0" w:color="auto"/>
              <w:right w:val="single" w:sz="4" w:space="0" w:color="auto"/>
            </w:tcBorders>
            <w:vAlign w:val="center"/>
          </w:tcPr>
          <w:p w14:paraId="36BB61E3" w14:textId="77777777" w:rsidR="004E3AC5" w:rsidRPr="00BE28C4" w:rsidRDefault="00907ADD">
            <w:pPr>
              <w:keepNext/>
              <w:keepLines/>
              <w:widowControl w:val="0"/>
              <w:autoSpaceDE w:val="0"/>
              <w:autoSpaceDN w:val="0"/>
              <w:adjustRightInd w:val="0"/>
              <w:spacing w:line="240" w:lineRule="auto"/>
              <w:jc w:val="center"/>
              <w:rPr>
                <w:b/>
                <w:szCs w:val="22"/>
              </w:rPr>
            </w:pPr>
            <w:r w:rsidRPr="00BE28C4">
              <w:rPr>
                <w:b/>
                <w:szCs w:val="22"/>
              </w:rPr>
              <w:t>PBO</w:t>
            </w:r>
          </w:p>
        </w:tc>
        <w:tc>
          <w:tcPr>
            <w:tcW w:w="1055" w:type="dxa"/>
            <w:tcBorders>
              <w:top w:val="single" w:sz="4" w:space="0" w:color="auto"/>
              <w:left w:val="single" w:sz="4" w:space="0" w:color="auto"/>
              <w:bottom w:val="single" w:sz="4" w:space="0" w:color="auto"/>
              <w:right w:val="single" w:sz="4" w:space="0" w:color="auto"/>
            </w:tcBorders>
            <w:vAlign w:val="center"/>
          </w:tcPr>
          <w:p w14:paraId="4DA72498" w14:textId="77777777" w:rsidR="004E3AC5" w:rsidRPr="00BE28C4" w:rsidRDefault="00907ADD">
            <w:pPr>
              <w:keepNext/>
              <w:keepLines/>
              <w:widowControl w:val="0"/>
              <w:autoSpaceDE w:val="0"/>
              <w:autoSpaceDN w:val="0"/>
              <w:adjustRightInd w:val="0"/>
              <w:spacing w:line="240" w:lineRule="auto"/>
              <w:jc w:val="center"/>
              <w:rPr>
                <w:b/>
                <w:szCs w:val="22"/>
              </w:rPr>
            </w:pPr>
            <w:r w:rsidRPr="00BE28C4">
              <w:rPr>
                <w:b/>
                <w:szCs w:val="22"/>
              </w:rPr>
              <w:t>NB</w:t>
            </w:r>
          </w:p>
        </w:tc>
        <w:tc>
          <w:tcPr>
            <w:tcW w:w="930" w:type="dxa"/>
            <w:tcBorders>
              <w:top w:val="single" w:sz="4" w:space="0" w:color="auto"/>
              <w:left w:val="single" w:sz="4" w:space="0" w:color="auto"/>
              <w:bottom w:val="single" w:sz="4" w:space="0" w:color="auto"/>
              <w:right w:val="single" w:sz="4" w:space="0" w:color="auto"/>
            </w:tcBorders>
            <w:vAlign w:val="center"/>
          </w:tcPr>
          <w:p w14:paraId="2033C0F9" w14:textId="77777777" w:rsidR="004E3AC5" w:rsidRPr="00BE28C4" w:rsidRDefault="00907ADD">
            <w:pPr>
              <w:keepNext/>
              <w:keepLines/>
              <w:widowControl w:val="0"/>
              <w:autoSpaceDE w:val="0"/>
              <w:autoSpaceDN w:val="0"/>
              <w:adjustRightInd w:val="0"/>
              <w:spacing w:line="240" w:lineRule="auto"/>
              <w:jc w:val="center"/>
              <w:rPr>
                <w:b/>
                <w:szCs w:val="22"/>
              </w:rPr>
            </w:pPr>
            <w:r w:rsidRPr="00BE28C4">
              <w:rPr>
                <w:b/>
                <w:szCs w:val="22"/>
              </w:rPr>
              <w:t>PBO</w:t>
            </w:r>
          </w:p>
        </w:tc>
        <w:tc>
          <w:tcPr>
            <w:tcW w:w="992" w:type="dxa"/>
            <w:tcBorders>
              <w:top w:val="single" w:sz="4" w:space="0" w:color="auto"/>
              <w:left w:val="single" w:sz="4" w:space="0" w:color="auto"/>
              <w:bottom w:val="single" w:sz="4" w:space="0" w:color="auto"/>
              <w:right w:val="single" w:sz="4" w:space="0" w:color="auto"/>
            </w:tcBorders>
            <w:vAlign w:val="center"/>
          </w:tcPr>
          <w:p w14:paraId="7C7EDD8E" w14:textId="77777777" w:rsidR="004E3AC5" w:rsidRPr="00BE28C4" w:rsidRDefault="00907ADD">
            <w:pPr>
              <w:keepNext/>
              <w:keepLines/>
              <w:widowControl w:val="0"/>
              <w:autoSpaceDE w:val="0"/>
              <w:autoSpaceDN w:val="0"/>
              <w:adjustRightInd w:val="0"/>
              <w:spacing w:line="240" w:lineRule="auto"/>
              <w:jc w:val="center"/>
              <w:rPr>
                <w:b/>
                <w:szCs w:val="22"/>
              </w:rPr>
            </w:pPr>
            <w:r w:rsidRPr="00BE28C4">
              <w:rPr>
                <w:b/>
                <w:szCs w:val="22"/>
              </w:rPr>
              <w:t>NB</w:t>
            </w:r>
          </w:p>
        </w:tc>
        <w:tc>
          <w:tcPr>
            <w:tcW w:w="921" w:type="dxa"/>
            <w:tcBorders>
              <w:top w:val="single" w:sz="4" w:space="0" w:color="auto"/>
              <w:left w:val="single" w:sz="4" w:space="0" w:color="auto"/>
              <w:bottom w:val="single" w:sz="4" w:space="0" w:color="auto"/>
            </w:tcBorders>
            <w:vAlign w:val="center"/>
          </w:tcPr>
          <w:p w14:paraId="2A068D45" w14:textId="77777777" w:rsidR="004E3AC5" w:rsidRPr="00BE28C4" w:rsidRDefault="00907ADD">
            <w:pPr>
              <w:keepNext/>
              <w:keepLines/>
              <w:widowControl w:val="0"/>
              <w:autoSpaceDE w:val="0"/>
              <w:autoSpaceDN w:val="0"/>
              <w:adjustRightInd w:val="0"/>
              <w:spacing w:line="240" w:lineRule="auto"/>
              <w:jc w:val="center"/>
              <w:rPr>
                <w:b/>
                <w:szCs w:val="22"/>
              </w:rPr>
            </w:pPr>
            <w:r w:rsidRPr="00BE28C4">
              <w:rPr>
                <w:b/>
                <w:szCs w:val="22"/>
              </w:rPr>
              <w:t>PBO</w:t>
            </w:r>
          </w:p>
        </w:tc>
      </w:tr>
      <w:tr w:rsidR="004E3AC5" w:rsidRPr="00BE28C4" w14:paraId="7CE72603" w14:textId="77777777">
        <w:trPr>
          <w:trHeight w:val="215"/>
          <w:jc w:val="center"/>
        </w:trPr>
        <w:tc>
          <w:tcPr>
            <w:tcW w:w="9287" w:type="dxa"/>
            <w:gridSpan w:val="9"/>
            <w:tcBorders>
              <w:top w:val="single" w:sz="4" w:space="0" w:color="auto"/>
            </w:tcBorders>
            <w:shd w:val="clear" w:color="auto" w:fill="auto"/>
            <w:vAlign w:val="center"/>
          </w:tcPr>
          <w:p w14:paraId="67A9EC9D" w14:textId="77777777" w:rsidR="004E3AC5" w:rsidRPr="00BE28C4" w:rsidRDefault="00907ADD">
            <w:pPr>
              <w:keepNext/>
              <w:keepLines/>
              <w:widowControl w:val="0"/>
              <w:autoSpaceDE w:val="0"/>
              <w:autoSpaceDN w:val="0"/>
              <w:adjustRightInd w:val="0"/>
              <w:spacing w:line="240" w:lineRule="auto"/>
              <w:rPr>
                <w:szCs w:val="22"/>
              </w:rPr>
            </w:pPr>
            <w:r w:rsidRPr="00BE28C4">
              <w:rPr>
                <w:b/>
                <w:szCs w:val="22"/>
              </w:rPr>
              <w:t>Populacja zrandomizowana</w:t>
            </w:r>
            <w:r w:rsidRPr="00BE28C4">
              <w:rPr>
                <w:szCs w:val="22"/>
                <w:vertAlign w:val="superscript"/>
              </w:rPr>
              <w:t xml:space="preserve">+ </w:t>
            </w:r>
          </w:p>
        </w:tc>
      </w:tr>
      <w:tr w:rsidR="004E3AC5" w:rsidRPr="00BE28C4" w14:paraId="38015B80" w14:textId="77777777">
        <w:trPr>
          <w:trHeight w:val="215"/>
          <w:jc w:val="center"/>
        </w:trPr>
        <w:tc>
          <w:tcPr>
            <w:tcW w:w="1420" w:type="dxa"/>
            <w:tcBorders>
              <w:top w:val="single" w:sz="4" w:space="0" w:color="auto"/>
              <w:right w:val="single" w:sz="4" w:space="0" w:color="auto"/>
            </w:tcBorders>
            <w:shd w:val="clear" w:color="auto" w:fill="auto"/>
            <w:vAlign w:val="center"/>
          </w:tcPr>
          <w:p w14:paraId="4AAA3F45"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N</w:t>
            </w:r>
          </w:p>
        </w:tc>
        <w:tc>
          <w:tcPr>
            <w:tcW w:w="992" w:type="dxa"/>
            <w:tcBorders>
              <w:top w:val="single" w:sz="4" w:space="0" w:color="auto"/>
              <w:left w:val="single" w:sz="4" w:space="0" w:color="auto"/>
              <w:right w:val="single" w:sz="4" w:space="0" w:color="auto"/>
            </w:tcBorders>
            <w:shd w:val="clear" w:color="auto" w:fill="auto"/>
            <w:vAlign w:val="bottom"/>
          </w:tcPr>
          <w:p w14:paraId="004A0F6A"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583</w:t>
            </w:r>
          </w:p>
        </w:tc>
        <w:tc>
          <w:tcPr>
            <w:tcW w:w="993" w:type="dxa"/>
            <w:tcBorders>
              <w:top w:val="single" w:sz="4" w:space="0" w:color="auto"/>
              <w:left w:val="single" w:sz="4" w:space="0" w:color="auto"/>
              <w:right w:val="single" w:sz="4" w:space="0" w:color="auto"/>
            </w:tcBorders>
            <w:shd w:val="clear" w:color="auto" w:fill="auto"/>
            <w:vAlign w:val="bottom"/>
          </w:tcPr>
          <w:p w14:paraId="343E04B7"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581</w:t>
            </w:r>
          </w:p>
        </w:tc>
        <w:tc>
          <w:tcPr>
            <w:tcW w:w="1002" w:type="dxa"/>
            <w:tcBorders>
              <w:top w:val="single" w:sz="4" w:space="0" w:color="auto"/>
              <w:left w:val="single" w:sz="4" w:space="0" w:color="auto"/>
              <w:right w:val="single" w:sz="4" w:space="0" w:color="auto"/>
            </w:tcBorders>
            <w:shd w:val="clear" w:color="auto" w:fill="auto"/>
            <w:vAlign w:val="bottom"/>
          </w:tcPr>
          <w:p w14:paraId="4A47A497"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591</w:t>
            </w:r>
          </w:p>
        </w:tc>
        <w:tc>
          <w:tcPr>
            <w:tcW w:w="982" w:type="dxa"/>
            <w:tcBorders>
              <w:top w:val="single" w:sz="4" w:space="0" w:color="auto"/>
              <w:left w:val="single" w:sz="4" w:space="0" w:color="auto"/>
              <w:right w:val="single" w:sz="4" w:space="0" w:color="auto"/>
            </w:tcBorders>
            <w:shd w:val="clear" w:color="auto" w:fill="auto"/>
            <w:vAlign w:val="bottom"/>
          </w:tcPr>
          <w:p w14:paraId="3982215A"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202</w:t>
            </w:r>
          </w:p>
        </w:tc>
        <w:tc>
          <w:tcPr>
            <w:tcW w:w="1055" w:type="dxa"/>
            <w:tcBorders>
              <w:top w:val="single" w:sz="4" w:space="0" w:color="auto"/>
              <w:left w:val="single" w:sz="4" w:space="0" w:color="auto"/>
              <w:right w:val="single" w:sz="4" w:space="0" w:color="auto"/>
            </w:tcBorders>
            <w:shd w:val="clear" w:color="auto" w:fill="auto"/>
            <w:vAlign w:val="bottom"/>
          </w:tcPr>
          <w:p w14:paraId="50465422"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335</w:t>
            </w:r>
          </w:p>
        </w:tc>
        <w:tc>
          <w:tcPr>
            <w:tcW w:w="930" w:type="dxa"/>
            <w:tcBorders>
              <w:top w:val="single" w:sz="4" w:space="0" w:color="auto"/>
              <w:left w:val="single" w:sz="4" w:space="0" w:color="auto"/>
              <w:right w:val="single" w:sz="4" w:space="0" w:color="auto"/>
            </w:tcBorders>
            <w:shd w:val="clear" w:color="auto" w:fill="auto"/>
            <w:vAlign w:val="bottom"/>
          </w:tcPr>
          <w:p w14:paraId="35167F68"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170</w:t>
            </w:r>
          </w:p>
        </w:tc>
        <w:tc>
          <w:tcPr>
            <w:tcW w:w="992" w:type="dxa"/>
            <w:tcBorders>
              <w:top w:val="single" w:sz="4" w:space="0" w:color="auto"/>
              <w:left w:val="single" w:sz="4" w:space="0" w:color="auto"/>
              <w:right w:val="single" w:sz="4" w:space="0" w:color="auto"/>
            </w:tcBorders>
            <w:shd w:val="clear" w:color="auto" w:fill="auto"/>
            <w:vAlign w:val="bottom"/>
          </w:tcPr>
          <w:p w14:paraId="3B229791"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1001</w:t>
            </w:r>
          </w:p>
        </w:tc>
        <w:tc>
          <w:tcPr>
            <w:tcW w:w="921" w:type="dxa"/>
            <w:tcBorders>
              <w:top w:val="single" w:sz="4" w:space="0" w:color="auto"/>
              <w:left w:val="single" w:sz="4" w:space="0" w:color="auto"/>
            </w:tcBorders>
            <w:shd w:val="clear" w:color="auto" w:fill="auto"/>
            <w:vAlign w:val="bottom"/>
          </w:tcPr>
          <w:p w14:paraId="391D66E6"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495</w:t>
            </w:r>
          </w:p>
        </w:tc>
      </w:tr>
      <w:tr w:rsidR="004E3AC5" w:rsidRPr="00BE28C4" w14:paraId="06968626" w14:textId="77777777">
        <w:trPr>
          <w:trHeight w:val="215"/>
          <w:jc w:val="center"/>
        </w:trPr>
        <w:tc>
          <w:tcPr>
            <w:tcW w:w="1420" w:type="dxa"/>
            <w:tcBorders>
              <w:right w:val="single" w:sz="4" w:space="0" w:color="auto"/>
            </w:tcBorders>
            <w:shd w:val="clear" w:color="auto" w:fill="auto"/>
            <w:vAlign w:val="center"/>
          </w:tcPr>
          <w:p w14:paraId="271FFE17"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Redukcja masy ciała o ≥5%</w:t>
            </w:r>
          </w:p>
        </w:tc>
        <w:tc>
          <w:tcPr>
            <w:tcW w:w="992" w:type="dxa"/>
            <w:tcBorders>
              <w:left w:val="single" w:sz="4" w:space="0" w:color="auto"/>
              <w:right w:val="single" w:sz="4" w:space="0" w:color="auto"/>
            </w:tcBorders>
            <w:shd w:val="clear" w:color="auto" w:fill="auto"/>
            <w:vAlign w:val="center"/>
          </w:tcPr>
          <w:p w14:paraId="116381DD"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31*</w:t>
            </w:r>
          </w:p>
        </w:tc>
        <w:tc>
          <w:tcPr>
            <w:tcW w:w="993" w:type="dxa"/>
            <w:tcBorders>
              <w:left w:val="single" w:sz="4" w:space="0" w:color="auto"/>
              <w:right w:val="single" w:sz="4" w:space="0" w:color="auto"/>
            </w:tcBorders>
            <w:shd w:val="clear" w:color="auto" w:fill="auto"/>
            <w:vAlign w:val="center"/>
          </w:tcPr>
          <w:p w14:paraId="3179B608"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12</w:t>
            </w:r>
          </w:p>
        </w:tc>
        <w:tc>
          <w:tcPr>
            <w:tcW w:w="1002" w:type="dxa"/>
            <w:tcBorders>
              <w:left w:val="single" w:sz="4" w:space="0" w:color="auto"/>
              <w:right w:val="single" w:sz="4" w:space="0" w:color="auto"/>
            </w:tcBorders>
            <w:shd w:val="clear" w:color="auto" w:fill="auto"/>
            <w:vAlign w:val="center"/>
          </w:tcPr>
          <w:p w14:paraId="254913F8"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46**</w:t>
            </w:r>
          </w:p>
        </w:tc>
        <w:tc>
          <w:tcPr>
            <w:tcW w:w="982" w:type="dxa"/>
            <w:tcBorders>
              <w:left w:val="single" w:sz="4" w:space="0" w:color="auto"/>
              <w:right w:val="single" w:sz="4" w:space="0" w:color="auto"/>
            </w:tcBorders>
            <w:shd w:val="clear" w:color="auto" w:fill="auto"/>
            <w:vAlign w:val="center"/>
          </w:tcPr>
          <w:p w14:paraId="7F8FDA5F"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34</w:t>
            </w:r>
          </w:p>
        </w:tc>
        <w:tc>
          <w:tcPr>
            <w:tcW w:w="1055" w:type="dxa"/>
            <w:tcBorders>
              <w:left w:val="single" w:sz="4" w:space="0" w:color="auto"/>
              <w:right w:val="single" w:sz="4" w:space="0" w:color="auto"/>
            </w:tcBorders>
            <w:shd w:val="clear" w:color="auto" w:fill="auto"/>
            <w:vAlign w:val="center"/>
          </w:tcPr>
          <w:p w14:paraId="4CB96114"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28*</w:t>
            </w:r>
          </w:p>
        </w:tc>
        <w:tc>
          <w:tcPr>
            <w:tcW w:w="930" w:type="dxa"/>
            <w:tcBorders>
              <w:left w:val="single" w:sz="4" w:space="0" w:color="auto"/>
              <w:right w:val="single" w:sz="4" w:space="0" w:color="auto"/>
            </w:tcBorders>
            <w:shd w:val="clear" w:color="auto" w:fill="auto"/>
            <w:vAlign w:val="center"/>
          </w:tcPr>
          <w:p w14:paraId="7ECE0BC3"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14</w:t>
            </w:r>
          </w:p>
        </w:tc>
        <w:tc>
          <w:tcPr>
            <w:tcW w:w="992" w:type="dxa"/>
            <w:tcBorders>
              <w:left w:val="single" w:sz="4" w:space="0" w:color="auto"/>
              <w:right w:val="single" w:sz="4" w:space="0" w:color="auto"/>
            </w:tcBorders>
            <w:shd w:val="clear" w:color="auto" w:fill="auto"/>
            <w:vAlign w:val="center"/>
          </w:tcPr>
          <w:p w14:paraId="41A62D54"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42*</w:t>
            </w:r>
          </w:p>
        </w:tc>
        <w:tc>
          <w:tcPr>
            <w:tcW w:w="921" w:type="dxa"/>
            <w:tcBorders>
              <w:left w:val="single" w:sz="4" w:space="0" w:color="auto"/>
            </w:tcBorders>
            <w:shd w:val="clear" w:color="auto" w:fill="auto"/>
            <w:vAlign w:val="center"/>
          </w:tcPr>
          <w:p w14:paraId="1F25C22A"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14</w:t>
            </w:r>
          </w:p>
        </w:tc>
      </w:tr>
      <w:tr w:rsidR="004E3AC5" w:rsidRPr="00BE28C4" w14:paraId="5C914033" w14:textId="77777777">
        <w:trPr>
          <w:trHeight w:val="215"/>
          <w:jc w:val="center"/>
        </w:trPr>
        <w:tc>
          <w:tcPr>
            <w:tcW w:w="1420" w:type="dxa"/>
            <w:tcBorders>
              <w:bottom w:val="single" w:sz="4" w:space="0" w:color="auto"/>
              <w:right w:val="single" w:sz="4" w:space="0" w:color="auto"/>
            </w:tcBorders>
            <w:shd w:val="clear" w:color="auto" w:fill="auto"/>
            <w:vAlign w:val="center"/>
          </w:tcPr>
          <w:p w14:paraId="57A51ED1"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Redukcja masy ciała o ≥10%</w:t>
            </w:r>
          </w:p>
        </w:tc>
        <w:tc>
          <w:tcPr>
            <w:tcW w:w="992" w:type="dxa"/>
            <w:tcBorders>
              <w:left w:val="single" w:sz="4" w:space="0" w:color="auto"/>
              <w:bottom w:val="single" w:sz="4" w:space="0" w:color="auto"/>
              <w:right w:val="single" w:sz="4" w:space="0" w:color="auto"/>
            </w:tcBorders>
            <w:shd w:val="clear" w:color="auto" w:fill="auto"/>
            <w:vAlign w:val="center"/>
          </w:tcPr>
          <w:p w14:paraId="749C2EE9"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17*</w:t>
            </w:r>
          </w:p>
        </w:tc>
        <w:tc>
          <w:tcPr>
            <w:tcW w:w="993" w:type="dxa"/>
            <w:tcBorders>
              <w:left w:val="single" w:sz="4" w:space="0" w:color="auto"/>
              <w:bottom w:val="single" w:sz="4" w:space="0" w:color="auto"/>
              <w:right w:val="single" w:sz="4" w:space="0" w:color="auto"/>
            </w:tcBorders>
            <w:shd w:val="clear" w:color="auto" w:fill="auto"/>
            <w:vAlign w:val="center"/>
          </w:tcPr>
          <w:p w14:paraId="26C08B92"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5</w:t>
            </w:r>
          </w:p>
        </w:tc>
        <w:tc>
          <w:tcPr>
            <w:tcW w:w="1002" w:type="dxa"/>
            <w:tcBorders>
              <w:left w:val="single" w:sz="4" w:space="0" w:color="auto"/>
              <w:bottom w:val="single" w:sz="4" w:space="0" w:color="auto"/>
              <w:right w:val="single" w:sz="4" w:space="0" w:color="auto"/>
            </w:tcBorders>
            <w:shd w:val="clear" w:color="auto" w:fill="auto"/>
            <w:vAlign w:val="center"/>
          </w:tcPr>
          <w:p w14:paraId="43B71B4F"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30*</w:t>
            </w:r>
          </w:p>
        </w:tc>
        <w:tc>
          <w:tcPr>
            <w:tcW w:w="982" w:type="dxa"/>
            <w:tcBorders>
              <w:left w:val="single" w:sz="4" w:space="0" w:color="auto"/>
              <w:bottom w:val="single" w:sz="4" w:space="0" w:color="auto"/>
              <w:right w:val="single" w:sz="4" w:space="0" w:color="auto"/>
            </w:tcBorders>
            <w:shd w:val="clear" w:color="auto" w:fill="auto"/>
            <w:vAlign w:val="center"/>
          </w:tcPr>
          <w:p w14:paraId="629F732C"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17</w:t>
            </w:r>
          </w:p>
        </w:tc>
        <w:tc>
          <w:tcPr>
            <w:tcW w:w="1055" w:type="dxa"/>
            <w:tcBorders>
              <w:left w:val="single" w:sz="4" w:space="0" w:color="auto"/>
              <w:bottom w:val="single" w:sz="4" w:space="0" w:color="auto"/>
              <w:right w:val="single" w:sz="4" w:space="0" w:color="auto"/>
            </w:tcBorders>
            <w:shd w:val="clear" w:color="auto" w:fill="auto"/>
            <w:vAlign w:val="center"/>
          </w:tcPr>
          <w:p w14:paraId="1A125825"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13**</w:t>
            </w:r>
          </w:p>
        </w:tc>
        <w:tc>
          <w:tcPr>
            <w:tcW w:w="930" w:type="dxa"/>
            <w:tcBorders>
              <w:left w:val="single" w:sz="4" w:space="0" w:color="auto"/>
              <w:bottom w:val="single" w:sz="4" w:space="0" w:color="auto"/>
              <w:right w:val="single" w:sz="4" w:space="0" w:color="auto"/>
            </w:tcBorders>
            <w:shd w:val="clear" w:color="auto" w:fill="auto"/>
            <w:vAlign w:val="center"/>
          </w:tcPr>
          <w:p w14:paraId="4CCC5244"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5</w:t>
            </w:r>
          </w:p>
        </w:tc>
        <w:tc>
          <w:tcPr>
            <w:tcW w:w="992" w:type="dxa"/>
            <w:tcBorders>
              <w:left w:val="single" w:sz="4" w:space="0" w:color="auto"/>
              <w:bottom w:val="single" w:sz="4" w:space="0" w:color="auto"/>
              <w:right w:val="single" w:sz="4" w:space="0" w:color="auto"/>
            </w:tcBorders>
            <w:shd w:val="clear" w:color="auto" w:fill="auto"/>
            <w:vAlign w:val="center"/>
          </w:tcPr>
          <w:p w14:paraId="557CD7D7"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22*</w:t>
            </w:r>
          </w:p>
        </w:tc>
        <w:tc>
          <w:tcPr>
            <w:tcW w:w="921" w:type="dxa"/>
            <w:tcBorders>
              <w:left w:val="single" w:sz="4" w:space="0" w:color="auto"/>
              <w:bottom w:val="single" w:sz="4" w:space="0" w:color="auto"/>
            </w:tcBorders>
            <w:shd w:val="clear" w:color="auto" w:fill="auto"/>
            <w:vAlign w:val="center"/>
          </w:tcPr>
          <w:p w14:paraId="3171247B"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6</w:t>
            </w:r>
          </w:p>
        </w:tc>
      </w:tr>
      <w:tr w:rsidR="004E3AC5" w:rsidRPr="00BE28C4" w14:paraId="2746C56A" w14:textId="77777777">
        <w:trPr>
          <w:trHeight w:val="215"/>
          <w:jc w:val="center"/>
        </w:trPr>
        <w:tc>
          <w:tcPr>
            <w:tcW w:w="928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B58C33D" w14:textId="77777777" w:rsidR="004E3AC5" w:rsidRPr="00BE28C4" w:rsidRDefault="00907ADD">
            <w:pPr>
              <w:keepNext/>
              <w:keepLines/>
              <w:widowControl w:val="0"/>
              <w:autoSpaceDE w:val="0"/>
              <w:autoSpaceDN w:val="0"/>
              <w:adjustRightInd w:val="0"/>
              <w:spacing w:line="240" w:lineRule="auto"/>
              <w:rPr>
                <w:b/>
                <w:szCs w:val="22"/>
              </w:rPr>
            </w:pPr>
            <w:r w:rsidRPr="00BE28C4">
              <w:rPr>
                <w:b/>
                <w:szCs w:val="22"/>
              </w:rPr>
              <w:t>Pacjenci, którzy ukończyli badanie</w:t>
            </w:r>
            <w:r w:rsidRPr="00BE28C4">
              <w:rPr>
                <w:szCs w:val="22"/>
                <w:vertAlign w:val="superscript"/>
              </w:rPr>
              <w:t>++</w:t>
            </w:r>
          </w:p>
        </w:tc>
      </w:tr>
      <w:tr w:rsidR="004E3AC5" w:rsidRPr="00BE28C4" w14:paraId="606BE52B" w14:textId="77777777">
        <w:trPr>
          <w:trHeight w:val="215"/>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1104D92"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7CC09E"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296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F63A6D"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290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6E2C36F2"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301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144C977"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106</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6F1B545"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175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71C3E624"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60D743"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619</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352ED346"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319</w:t>
            </w:r>
          </w:p>
        </w:tc>
      </w:tr>
      <w:tr w:rsidR="004E3AC5" w:rsidRPr="00BE28C4" w14:paraId="65D0D798" w14:textId="77777777">
        <w:trPr>
          <w:trHeight w:val="215"/>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6437A10"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Redukcja masy ciała o ≥5%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AE90AE"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F12706"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23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272D36C"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80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A25793B"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60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AA8793E"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53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C4021D3"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E4BD6"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69</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238FFC5A"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22</w:t>
            </w:r>
          </w:p>
        </w:tc>
      </w:tr>
      <w:tr w:rsidR="004E3AC5" w:rsidRPr="00BE28C4" w14:paraId="006D097D" w14:textId="77777777">
        <w:trPr>
          <w:trHeight w:val="215"/>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17EBC653"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Redukcja masy ciała o ≥10%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242B67"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A1F2AC"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11</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70E78BAB"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55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DE6217E"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30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09FE114"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26</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08A6AF3"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35A5FA"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36</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0A2D218E" w14:textId="77777777" w:rsidR="004E3AC5" w:rsidRPr="00BE28C4" w:rsidRDefault="00907ADD">
            <w:pPr>
              <w:keepNext/>
              <w:keepLines/>
              <w:widowControl w:val="0"/>
              <w:autoSpaceDE w:val="0"/>
              <w:autoSpaceDN w:val="0"/>
              <w:adjustRightInd w:val="0"/>
              <w:spacing w:line="240" w:lineRule="auto"/>
              <w:jc w:val="center"/>
              <w:rPr>
                <w:szCs w:val="22"/>
              </w:rPr>
            </w:pPr>
            <w:r w:rsidRPr="00BE28C4">
              <w:rPr>
                <w:szCs w:val="22"/>
              </w:rPr>
              <w:t>9</w:t>
            </w:r>
          </w:p>
        </w:tc>
      </w:tr>
      <w:tr w:rsidR="004E3AC5" w:rsidRPr="00BE28C4" w14:paraId="663B2D0B" w14:textId="77777777">
        <w:trPr>
          <w:trHeight w:val="228"/>
          <w:jc w:val="center"/>
        </w:trPr>
        <w:tc>
          <w:tcPr>
            <w:tcW w:w="9287" w:type="dxa"/>
            <w:gridSpan w:val="9"/>
            <w:tcBorders>
              <w:left w:val="nil"/>
              <w:bottom w:val="nil"/>
              <w:right w:val="nil"/>
            </w:tcBorders>
            <w:vAlign w:val="center"/>
          </w:tcPr>
          <w:p w14:paraId="7211A16A" w14:textId="77777777" w:rsidR="004E3AC5" w:rsidRPr="00BE28C4" w:rsidRDefault="00907ADD">
            <w:pPr>
              <w:keepNext/>
              <w:keepLines/>
              <w:widowControl w:val="0"/>
              <w:tabs>
                <w:tab w:val="left" w:pos="306"/>
              </w:tabs>
              <w:autoSpaceDE w:val="0"/>
              <w:autoSpaceDN w:val="0"/>
              <w:adjustRightInd w:val="0"/>
              <w:spacing w:line="240" w:lineRule="auto"/>
              <w:rPr>
                <w:szCs w:val="22"/>
              </w:rPr>
            </w:pPr>
            <w:r w:rsidRPr="00BE28C4">
              <w:rPr>
                <w:szCs w:val="22"/>
                <w:vertAlign w:val="superscript"/>
              </w:rPr>
              <w:t>+</w:t>
            </w:r>
            <w:r w:rsidRPr="00BE28C4">
              <w:rPr>
                <w:szCs w:val="22"/>
              </w:rPr>
              <w:tab/>
              <w:t>Z zastępowaniem brakującej wartości danego parametru wartością wyjściową (metoda BOCF).</w:t>
            </w:r>
          </w:p>
          <w:p w14:paraId="296A4D05" w14:textId="77777777" w:rsidR="004E3AC5" w:rsidRPr="00BE28C4" w:rsidRDefault="00907ADD">
            <w:pPr>
              <w:keepNext/>
              <w:tabs>
                <w:tab w:val="left" w:pos="270"/>
              </w:tabs>
              <w:autoSpaceDE w:val="0"/>
              <w:autoSpaceDN w:val="0"/>
              <w:adjustRightInd w:val="0"/>
              <w:spacing w:line="240" w:lineRule="auto"/>
              <w:rPr>
                <w:szCs w:val="22"/>
              </w:rPr>
            </w:pPr>
            <w:r w:rsidRPr="00BE28C4">
              <w:rPr>
                <w:szCs w:val="22"/>
                <w:vertAlign w:val="superscript"/>
              </w:rPr>
              <w:t>++</w:t>
            </w:r>
            <w:r w:rsidRPr="00BE28C4">
              <w:rPr>
                <w:szCs w:val="22"/>
              </w:rPr>
              <w:tab/>
              <w:t>Pacjenci z dostępnym wynikiem pomiaru masy ciała wykonanego podczas wizyty wyjściowej i podczas dowolnej późniejszej wizyty, którzy odbyli 56 tygodni leczenia (w przypadku badań NB</w:t>
            </w:r>
            <w:r w:rsidRPr="00BE28C4">
              <w:rPr>
                <w:szCs w:val="22"/>
              </w:rPr>
              <w:noBreakHyphen/>
              <w:t>301, NB</w:t>
            </w:r>
            <w:r w:rsidRPr="00BE28C4">
              <w:rPr>
                <w:szCs w:val="22"/>
              </w:rPr>
              <w:noBreakHyphen/>
              <w:t>302 i NB</w:t>
            </w:r>
            <w:r w:rsidRPr="00BE28C4">
              <w:rPr>
                <w:szCs w:val="22"/>
              </w:rPr>
              <w:noBreakHyphen/>
              <w:t>304) lub 28 tygodni leczenia (w przypadku badania NB</w:t>
            </w:r>
            <w:r w:rsidRPr="00BE28C4">
              <w:rPr>
                <w:szCs w:val="22"/>
              </w:rPr>
              <w:noBreakHyphen/>
              <w:t>303).</w:t>
            </w:r>
          </w:p>
          <w:p w14:paraId="6E1976A1" w14:textId="77777777" w:rsidR="004E3AC5" w:rsidRPr="00BE28C4" w:rsidRDefault="00907ADD">
            <w:pPr>
              <w:keepNext/>
              <w:keepLines/>
              <w:widowControl w:val="0"/>
              <w:tabs>
                <w:tab w:val="left" w:pos="306"/>
              </w:tabs>
              <w:autoSpaceDE w:val="0"/>
              <w:autoSpaceDN w:val="0"/>
              <w:adjustRightInd w:val="0"/>
              <w:spacing w:line="240" w:lineRule="auto"/>
              <w:rPr>
                <w:szCs w:val="22"/>
              </w:rPr>
            </w:pPr>
            <w:r w:rsidRPr="00BE28C4">
              <w:rPr>
                <w:szCs w:val="22"/>
              </w:rPr>
              <w:t>*</w:t>
            </w:r>
            <w:r w:rsidRPr="00BE28C4">
              <w:rPr>
                <w:szCs w:val="22"/>
              </w:rPr>
              <w:tab/>
              <w:t>Dla porównania z placebo — p &lt; 0,001.</w:t>
            </w:r>
          </w:p>
          <w:p w14:paraId="61E8F912" w14:textId="77777777" w:rsidR="004E3AC5" w:rsidRPr="00BE28C4" w:rsidRDefault="00907ADD">
            <w:pPr>
              <w:keepNext/>
              <w:keepLines/>
              <w:widowControl w:val="0"/>
              <w:tabs>
                <w:tab w:val="left" w:pos="306"/>
              </w:tabs>
              <w:autoSpaceDE w:val="0"/>
              <w:autoSpaceDN w:val="0"/>
              <w:adjustRightInd w:val="0"/>
              <w:spacing w:line="240" w:lineRule="auto"/>
              <w:rPr>
                <w:szCs w:val="22"/>
              </w:rPr>
            </w:pPr>
            <w:r w:rsidRPr="00BE28C4">
              <w:rPr>
                <w:szCs w:val="22"/>
              </w:rPr>
              <w:t>**</w:t>
            </w:r>
            <w:r w:rsidRPr="00BE28C4">
              <w:rPr>
                <w:szCs w:val="22"/>
              </w:rPr>
              <w:tab/>
              <w:t>Dla porównania z placebo — p &lt; 0,01.</w:t>
            </w:r>
          </w:p>
          <w:p w14:paraId="41A807AC" w14:textId="77777777" w:rsidR="004E3AC5" w:rsidRPr="00BE28C4" w:rsidRDefault="00907ADD">
            <w:pPr>
              <w:keepNext/>
              <w:keepLines/>
              <w:widowControl w:val="0"/>
              <w:tabs>
                <w:tab w:val="left" w:pos="306"/>
              </w:tabs>
              <w:autoSpaceDE w:val="0"/>
              <w:autoSpaceDN w:val="0"/>
              <w:adjustRightInd w:val="0"/>
              <w:spacing w:line="240" w:lineRule="auto"/>
              <w:rPr>
                <w:szCs w:val="22"/>
              </w:rPr>
            </w:pPr>
            <w:r w:rsidRPr="00BE28C4">
              <w:rPr>
                <w:szCs w:val="22"/>
              </w:rPr>
              <w:t>Badania NB</w:t>
            </w:r>
            <w:r w:rsidRPr="00BE28C4">
              <w:rPr>
                <w:szCs w:val="22"/>
              </w:rPr>
              <w:noBreakHyphen/>
              <w:t>301, NB</w:t>
            </w:r>
            <w:r w:rsidRPr="00BE28C4">
              <w:rPr>
                <w:szCs w:val="22"/>
              </w:rPr>
              <w:noBreakHyphen/>
              <w:t>302 i NB</w:t>
            </w:r>
            <w:r w:rsidRPr="00BE28C4">
              <w:rPr>
                <w:szCs w:val="22"/>
              </w:rPr>
              <w:noBreakHyphen/>
              <w:t>303 przeprowadzono z udziałem pacjentów z otyłością bez chorób towarzyszących lub pacjentów z nadwagą lub otyłością i chorobami towarzyszącymi. W badaniu NB</w:t>
            </w:r>
            <w:r w:rsidRPr="00BE28C4">
              <w:rPr>
                <w:szCs w:val="22"/>
              </w:rPr>
              <w:noBreakHyphen/>
              <w:t>302 stosowano bardziej intensywny program zmian zachowania, natomiast w badaniu NB</w:t>
            </w:r>
            <w:r w:rsidRPr="00BE28C4">
              <w:rPr>
                <w:szCs w:val="22"/>
              </w:rPr>
              <w:noBreakHyphen/>
              <w:t>303 ocena pierwszorzędowego punktu końcowego następowała w 28. tygodniu, aby umożliwić ponowną randomizację do grup różniących się stosowanymi dawkami przez pozostały okres badania. Badanie NB</w:t>
            </w:r>
            <w:r w:rsidRPr="00BE28C4">
              <w:rPr>
                <w:szCs w:val="22"/>
              </w:rPr>
              <w:noBreakHyphen/>
              <w:t>304 przeprowadzono z udziałem pacjentów z nadwagą lub otyłością oraz cukrzycą typu 2.</w:t>
            </w:r>
          </w:p>
        </w:tc>
      </w:tr>
    </w:tbl>
    <w:p w14:paraId="073BFDDA" w14:textId="77777777" w:rsidR="004E3AC5" w:rsidRPr="00BE28C4" w:rsidRDefault="004E3AC5">
      <w:pPr>
        <w:spacing w:line="240" w:lineRule="auto"/>
        <w:rPr>
          <w:szCs w:val="22"/>
        </w:rPr>
      </w:pPr>
    </w:p>
    <w:p w14:paraId="23865B87" w14:textId="77777777" w:rsidR="004E3AC5" w:rsidRPr="00BE28C4" w:rsidRDefault="00907ADD">
      <w:pPr>
        <w:autoSpaceDE w:val="0"/>
        <w:autoSpaceDN w:val="0"/>
        <w:adjustRightInd w:val="0"/>
        <w:spacing w:line="240" w:lineRule="auto"/>
        <w:rPr>
          <w:szCs w:val="22"/>
        </w:rPr>
      </w:pPr>
      <w:r w:rsidRPr="00BE28C4">
        <w:rPr>
          <w:szCs w:val="22"/>
        </w:rPr>
        <w:t>Wśród pacjentów z odnotowanymi danymi w 16. tygodniu każdego z czterech badań klinicznych III fazy odsetek pacjentów z co najmniej 5</w:t>
      </w:r>
      <w:r w:rsidRPr="00BE28C4">
        <w:rPr>
          <w:szCs w:val="22"/>
        </w:rPr>
        <w:noBreakHyphen/>
        <w:t xml:space="preserve">procentową redukcją wyjściowej masy ciała wyniósł 50,8% w grupie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i 19,3% w grupie pacjentów otrzymujących placebo (pacjenci z odpowiedzią na badane leczenie w 16. tygodniu badania). Na koniec 1 roku, u pacjentów z odpowiedzią na leczenie w 16. tygodniu badania, średnia procentowa redukcja wyjściowej masy ciała (wyliczona z zastosowaniem metody LOCF) osiągnęła wartość 11,3% w grupie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przy czym u 55% tych pacjentów odnotowano ponad 10</w:t>
      </w:r>
      <w:r w:rsidRPr="00BE28C4">
        <w:rPr>
          <w:szCs w:val="22"/>
        </w:rPr>
        <w:noBreakHyphen/>
        <w:t xml:space="preserve">procentową redukcję wyjściowej masy ciała. Ponadto, pacjenci z odpowiedzią na leczenie w 16 tygodniu badania, którzy otrzymywali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ukończyli pierwszy rok leczenia w aż 87%, a więc z dużym wskaźnikiem retencji. Próg co najmniej 5</w:t>
      </w:r>
      <w:r w:rsidRPr="00BE28C4">
        <w:rPr>
          <w:szCs w:val="22"/>
        </w:rPr>
        <w:noBreakHyphen/>
        <w:t xml:space="preserve">procentowej redukcji wyjściowej masy ciała, stwierdzonej w 16 tygodniu badania miał wartość predykcyjną dodatnią, równą 86,4% i wartość predykcyjną ujemną, równą 84,8% dla ustalenia, czy u pacjenta leczonego skojarzeniem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zostanie uzyskana co najmniej 5</w:t>
      </w:r>
      <w:r w:rsidRPr="00BE28C4">
        <w:rPr>
          <w:szCs w:val="22"/>
        </w:rPr>
        <w:noBreakHyphen/>
        <w:t xml:space="preserve">procentowa redukcja wyjściowej masy ciała w 56. tygodniu badania. U pacjentów niespełniających kryterium wczesnej odpowiedzi na leczenie nie stwierdzono zwiększonej tolerancji </w:t>
      </w:r>
      <w:r w:rsidRPr="00BE28C4">
        <w:rPr>
          <w:szCs w:val="22"/>
        </w:rPr>
        <w:lastRenderedPageBreak/>
        <w:t>ani mniejszego bezpieczeństwa badanego produktu leczniczego w porównaniu z pacjentami, u których wystąpiła wczesna odpowiedź na badane leczenie.</w:t>
      </w:r>
    </w:p>
    <w:p w14:paraId="747220E2" w14:textId="77777777" w:rsidR="004E3AC5" w:rsidRPr="00BE28C4" w:rsidRDefault="004E3AC5">
      <w:pPr>
        <w:autoSpaceDE w:val="0"/>
        <w:autoSpaceDN w:val="0"/>
        <w:adjustRightInd w:val="0"/>
        <w:spacing w:line="240" w:lineRule="auto"/>
        <w:rPr>
          <w:i/>
          <w:szCs w:val="22"/>
        </w:rPr>
      </w:pPr>
    </w:p>
    <w:p w14:paraId="59646BF2" w14:textId="77777777" w:rsidR="004E3AC5" w:rsidRPr="00BE28C4" w:rsidRDefault="00907ADD">
      <w:pPr>
        <w:autoSpaceDE w:val="0"/>
        <w:autoSpaceDN w:val="0"/>
        <w:adjustRightInd w:val="0"/>
        <w:spacing w:line="240" w:lineRule="auto"/>
        <w:rPr>
          <w:szCs w:val="22"/>
        </w:rPr>
      </w:pPr>
      <w:r w:rsidRPr="00BE28C4">
        <w:rPr>
          <w:i/>
          <w:szCs w:val="22"/>
        </w:rPr>
        <w:t xml:space="preserve">Wpływ na parametry krążeniowe i metaboliczne </w:t>
      </w:r>
    </w:p>
    <w:p w14:paraId="7C8E07D7" w14:textId="77777777" w:rsidR="004E3AC5" w:rsidRPr="00BE28C4" w:rsidRDefault="00907ADD">
      <w:pPr>
        <w:autoSpaceDE w:val="0"/>
        <w:autoSpaceDN w:val="0"/>
        <w:adjustRightInd w:val="0"/>
        <w:spacing w:line="240" w:lineRule="auto"/>
        <w:rPr>
          <w:szCs w:val="22"/>
        </w:rPr>
      </w:pPr>
      <w:r w:rsidRPr="00BE28C4">
        <w:rPr>
          <w:szCs w:val="22"/>
        </w:rPr>
        <w:t xml:space="preserve">We wszystkich czterech badaniach III fazy, w przypadku stosowania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stwierdzono większą niż w przypadku stosowania placebo poprawę w zakresie obwodu </w:t>
      </w:r>
      <w:r w:rsidRPr="00BE28C4">
        <w:rPr>
          <w:szCs w:val="22"/>
        </w:rPr>
        <w:br/>
        <w:t xml:space="preserve">w talii (również u pacjentów z cukrzycą typu 2), stężenia </w:t>
      </w:r>
      <w:proofErr w:type="spellStart"/>
      <w:r w:rsidRPr="00BE28C4">
        <w:rPr>
          <w:szCs w:val="22"/>
        </w:rPr>
        <w:t>triglicerydów</w:t>
      </w:r>
      <w:proofErr w:type="spellEnd"/>
      <w:r w:rsidRPr="00BE28C4">
        <w:rPr>
          <w:szCs w:val="22"/>
        </w:rPr>
        <w:t>, stężenia HDL</w:t>
      </w:r>
      <w:r w:rsidRPr="00BE28C4">
        <w:rPr>
          <w:szCs w:val="22"/>
        </w:rPr>
        <w:noBreakHyphen/>
        <w:t>C oraz stosunku LDL</w:t>
      </w:r>
      <w:r w:rsidRPr="00BE28C4">
        <w:rPr>
          <w:szCs w:val="22"/>
        </w:rPr>
        <w:noBreakHyphen/>
        <w:t>C/HDL</w:t>
      </w:r>
      <w:r w:rsidRPr="00BE28C4">
        <w:rPr>
          <w:szCs w:val="22"/>
        </w:rPr>
        <w:noBreakHyphen/>
        <w:t xml:space="preserve">C (tabela 4). Poprawę w zakresie stężenia </w:t>
      </w:r>
      <w:proofErr w:type="spellStart"/>
      <w:r w:rsidRPr="00BE28C4">
        <w:rPr>
          <w:szCs w:val="22"/>
        </w:rPr>
        <w:t>triglycerydów</w:t>
      </w:r>
      <w:proofErr w:type="spellEnd"/>
      <w:r w:rsidRPr="00BE28C4">
        <w:rPr>
          <w:szCs w:val="22"/>
        </w:rPr>
        <w:t>, stężenia HDL</w:t>
      </w:r>
      <w:r w:rsidRPr="00BE28C4">
        <w:rPr>
          <w:szCs w:val="22"/>
        </w:rPr>
        <w:noBreakHyphen/>
        <w:t>C oraz stosunku LDL</w:t>
      </w:r>
      <w:r w:rsidRPr="00BE28C4">
        <w:rPr>
          <w:szCs w:val="22"/>
        </w:rPr>
        <w:noBreakHyphen/>
        <w:t>C/HDL</w:t>
      </w:r>
      <w:r w:rsidRPr="00BE28C4">
        <w:rPr>
          <w:szCs w:val="22"/>
        </w:rPr>
        <w:noBreakHyphen/>
        <w:t xml:space="preserve">C wykazano u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ze stwierdzaną wyjściowo </w:t>
      </w:r>
      <w:proofErr w:type="spellStart"/>
      <w:r w:rsidRPr="00BE28C4">
        <w:rPr>
          <w:szCs w:val="22"/>
        </w:rPr>
        <w:t>dyslipidemią</w:t>
      </w:r>
      <w:proofErr w:type="spellEnd"/>
      <w:r w:rsidRPr="00BE28C4">
        <w:rPr>
          <w:szCs w:val="22"/>
        </w:rPr>
        <w:t xml:space="preserve"> bez względu na leczenie </w:t>
      </w:r>
      <w:proofErr w:type="spellStart"/>
      <w:r w:rsidRPr="00BE28C4">
        <w:rPr>
          <w:szCs w:val="22"/>
        </w:rPr>
        <w:t>dyslipidemii</w:t>
      </w:r>
      <w:proofErr w:type="spellEnd"/>
      <w:r w:rsidRPr="00BE28C4">
        <w:rPr>
          <w:szCs w:val="22"/>
        </w:rPr>
        <w:t xml:space="preserve">. Zmiany wartości średniego ciśnienia tętniczego opisano w punkcie 4.4. U pacjentów bez cukrzycy typu 2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stwierdzono ponadto zmniejszenie </w:t>
      </w:r>
      <w:proofErr w:type="spellStart"/>
      <w:r w:rsidRPr="00BE28C4">
        <w:rPr>
          <w:szCs w:val="22"/>
        </w:rPr>
        <w:t>insulinemii</w:t>
      </w:r>
      <w:proofErr w:type="spellEnd"/>
      <w:r w:rsidRPr="00BE28C4">
        <w:rPr>
          <w:szCs w:val="22"/>
        </w:rPr>
        <w:t xml:space="preserve"> na czczo oraz wartości wskaźnika HOMA</w:t>
      </w:r>
      <w:r w:rsidRPr="00BE28C4">
        <w:rPr>
          <w:szCs w:val="22"/>
        </w:rPr>
        <w:noBreakHyphen/>
        <w:t xml:space="preserve">IR będącego miarą </w:t>
      </w:r>
      <w:proofErr w:type="spellStart"/>
      <w:r w:rsidRPr="00BE28C4">
        <w:rPr>
          <w:szCs w:val="22"/>
        </w:rPr>
        <w:t>insulinooporności</w:t>
      </w:r>
      <w:proofErr w:type="spellEnd"/>
      <w:r w:rsidRPr="00BE28C4">
        <w:rPr>
          <w:szCs w:val="22"/>
        </w:rPr>
        <w:t xml:space="preserve"> u tych pacjentów.</w:t>
      </w:r>
    </w:p>
    <w:p w14:paraId="6FCFB6A4" w14:textId="77777777" w:rsidR="004E3AC5" w:rsidRPr="00BE28C4" w:rsidRDefault="004E3AC5">
      <w:pPr>
        <w:autoSpaceDE w:val="0"/>
        <w:autoSpaceDN w:val="0"/>
        <w:adjustRightInd w:val="0"/>
        <w:spacing w:line="240" w:lineRule="auto"/>
        <w:rPr>
          <w:szCs w:val="22"/>
        </w:rPr>
      </w:pPr>
    </w:p>
    <w:p w14:paraId="0E9EB561" w14:textId="77777777" w:rsidR="004E3AC5" w:rsidRPr="00BE28C4" w:rsidRDefault="00907ADD">
      <w:pPr>
        <w:autoSpaceDE w:val="0"/>
        <w:autoSpaceDN w:val="0"/>
        <w:adjustRightInd w:val="0"/>
        <w:spacing w:line="240" w:lineRule="auto"/>
        <w:rPr>
          <w:i/>
          <w:szCs w:val="22"/>
        </w:rPr>
      </w:pPr>
      <w:r w:rsidRPr="00BE28C4">
        <w:rPr>
          <w:i/>
          <w:szCs w:val="22"/>
        </w:rPr>
        <w:t>Wpływ na stopień wyrównania glikemii u pacjentów otyłych z cukrzycą typu 2</w:t>
      </w:r>
    </w:p>
    <w:p w14:paraId="79A11131" w14:textId="77777777" w:rsidR="004E3AC5" w:rsidRPr="00BE28C4" w:rsidRDefault="00907ADD">
      <w:pPr>
        <w:autoSpaceDE w:val="0"/>
        <w:autoSpaceDN w:val="0"/>
        <w:adjustRightInd w:val="0"/>
        <w:spacing w:line="240" w:lineRule="auto"/>
        <w:rPr>
          <w:szCs w:val="22"/>
        </w:rPr>
      </w:pPr>
      <w:r w:rsidRPr="00BE28C4">
        <w:rPr>
          <w:szCs w:val="22"/>
        </w:rPr>
        <w:t>Po 56 tygodniach leczenia pacjentów z cukrzycą typu 2 (badanie NB</w:t>
      </w:r>
      <w:r w:rsidRPr="00BE28C4">
        <w:rPr>
          <w:szCs w:val="22"/>
        </w:rPr>
        <w:noBreakHyphen/>
        <w:t xml:space="preserve">304) w grupie otrzymującej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stwierdzono wyraźniejszą poprawę w zakresie parametrów wyrównania glikemii niż w grupie otrzymującej placebo (tabela 5). Podczas pierwszej wizyty po wizycie wyjściowej (16. tydzień badania) stwierdzono większą poprawę w zakresie HbA1c niż w grupie otrzymującej placebo (p &lt; 0,001). Średnia zmiana wyjściowego HbA1c w 56. tygodniu badania wyniosła </w:t>
      </w:r>
      <w:r w:rsidRPr="00BE28C4">
        <w:rPr>
          <w:szCs w:val="22"/>
        </w:rPr>
        <w:noBreakHyphen/>
        <w:t xml:space="preserve">0,63% u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i </w:t>
      </w:r>
      <w:r w:rsidRPr="00BE28C4">
        <w:rPr>
          <w:szCs w:val="22"/>
        </w:rPr>
        <w:noBreakHyphen/>
        <w:t>0,14% u pacjentów otrzymujących placebo (p &lt; 0,001). U pacjentów z wyjściową wartością HbA1c powyżej 8% (64 </w:t>
      </w:r>
      <w:proofErr w:type="spellStart"/>
      <w:r w:rsidRPr="00BE28C4">
        <w:rPr>
          <w:szCs w:val="22"/>
        </w:rPr>
        <w:t>mmol</w:t>
      </w:r>
      <w:proofErr w:type="spellEnd"/>
      <w:r w:rsidRPr="00BE28C4">
        <w:rPr>
          <w:szCs w:val="22"/>
        </w:rPr>
        <w:t xml:space="preserve">/mol) stwierdzona we wspomnianym powyżej punkcie czasowym zmiana wyniosła </w:t>
      </w:r>
      <w:r w:rsidRPr="00BE28C4">
        <w:rPr>
          <w:szCs w:val="22"/>
        </w:rPr>
        <w:noBreakHyphen/>
        <w:t xml:space="preserve">1,1% u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i </w:t>
      </w:r>
      <w:r w:rsidRPr="00BE28C4">
        <w:rPr>
          <w:szCs w:val="22"/>
        </w:rPr>
        <w:noBreakHyphen/>
        <w:t xml:space="preserve">0,5% u pacjentów otrzymujących placebo. U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stwierdzono też wyraźniejszą niż w grupie placebo poprawę w zakresie glikemii na czczo, </w:t>
      </w:r>
      <w:proofErr w:type="spellStart"/>
      <w:r w:rsidRPr="00BE28C4">
        <w:rPr>
          <w:szCs w:val="22"/>
        </w:rPr>
        <w:t>insulinemii</w:t>
      </w:r>
      <w:proofErr w:type="spellEnd"/>
      <w:r w:rsidRPr="00BE28C4">
        <w:rPr>
          <w:szCs w:val="22"/>
        </w:rPr>
        <w:t xml:space="preserve"> na czczo, wartości HOMA</w:t>
      </w:r>
      <w:r w:rsidRPr="00BE28C4">
        <w:rPr>
          <w:szCs w:val="22"/>
        </w:rPr>
        <w:noBreakHyphen/>
        <w:t>IR oraz odsetka pacjentów wymagających stosowania ratunkowych hipoglikemizujących produktów leczniczych.</w:t>
      </w:r>
    </w:p>
    <w:p w14:paraId="331D8587" w14:textId="77777777" w:rsidR="004E3AC5" w:rsidRPr="00BE28C4" w:rsidRDefault="004E3AC5">
      <w:pPr>
        <w:autoSpaceDE w:val="0"/>
        <w:autoSpaceDN w:val="0"/>
        <w:adjustRightInd w:val="0"/>
        <w:spacing w:line="240" w:lineRule="auto"/>
        <w:rPr>
          <w:szCs w:val="22"/>
        </w:rPr>
      </w:pPr>
    </w:p>
    <w:p w14:paraId="0E986848" w14:textId="77777777" w:rsidR="004E3AC5" w:rsidRPr="00BE28C4" w:rsidRDefault="00907ADD">
      <w:pPr>
        <w:keepNext/>
        <w:autoSpaceDE w:val="0"/>
        <w:autoSpaceDN w:val="0"/>
        <w:adjustRightInd w:val="0"/>
        <w:spacing w:line="240" w:lineRule="auto"/>
        <w:rPr>
          <w:b/>
          <w:szCs w:val="22"/>
        </w:rPr>
      </w:pPr>
      <w:r w:rsidRPr="00BE28C4">
        <w:rPr>
          <w:b/>
          <w:szCs w:val="22"/>
        </w:rPr>
        <w:lastRenderedPageBreak/>
        <w:t>Tabela 5. Zmiany wartości wyjściowych parametrów krążeniowych i metabolicznych stwierdzone w 56 tygodniu badań III fazy NB</w:t>
      </w:r>
      <w:r w:rsidRPr="00BE28C4">
        <w:rPr>
          <w:b/>
          <w:szCs w:val="22"/>
        </w:rPr>
        <w:noBreakHyphen/>
        <w:t>301, NB</w:t>
      </w:r>
      <w:r w:rsidRPr="00BE28C4">
        <w:rPr>
          <w:b/>
          <w:szCs w:val="22"/>
        </w:rPr>
        <w:noBreakHyphen/>
        <w:t>302 i NB</w:t>
      </w:r>
      <w:r w:rsidRPr="00BE28C4">
        <w:rPr>
          <w:b/>
          <w:szCs w:val="22"/>
        </w:rPr>
        <w:noBreakHyphen/>
        <w:t>304 oraz w 28 tygodniu badania NB</w:t>
      </w:r>
      <w:r w:rsidRPr="00BE28C4">
        <w:rPr>
          <w:b/>
          <w:szCs w:val="22"/>
        </w:rPr>
        <w:noBreakHyphen/>
        <w:t>303</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64"/>
        <w:gridCol w:w="993"/>
        <w:gridCol w:w="1002"/>
        <w:gridCol w:w="987"/>
        <w:gridCol w:w="1055"/>
        <w:gridCol w:w="930"/>
        <w:gridCol w:w="992"/>
        <w:gridCol w:w="921"/>
      </w:tblGrid>
      <w:tr w:rsidR="004E3AC5" w:rsidRPr="00BE28C4" w14:paraId="0D185604" w14:textId="77777777">
        <w:trPr>
          <w:trHeight w:val="215"/>
          <w:jc w:val="center"/>
        </w:trPr>
        <w:tc>
          <w:tcPr>
            <w:tcW w:w="1548" w:type="dxa"/>
            <w:tcBorders>
              <w:bottom w:val="single" w:sz="4" w:space="0" w:color="auto"/>
            </w:tcBorders>
            <w:vAlign w:val="center"/>
          </w:tcPr>
          <w:p w14:paraId="07E55CA4" w14:textId="77777777" w:rsidR="004E3AC5" w:rsidRPr="00BE28C4" w:rsidRDefault="004E3AC5">
            <w:pPr>
              <w:keepNext/>
              <w:keepLines/>
              <w:widowControl w:val="0"/>
              <w:autoSpaceDE w:val="0"/>
              <w:autoSpaceDN w:val="0"/>
              <w:adjustRightInd w:val="0"/>
              <w:spacing w:line="240" w:lineRule="auto"/>
              <w:rPr>
                <w:b/>
                <w:szCs w:val="22"/>
              </w:rPr>
            </w:pPr>
          </w:p>
        </w:tc>
        <w:tc>
          <w:tcPr>
            <w:tcW w:w="5831" w:type="dxa"/>
            <w:gridSpan w:val="6"/>
            <w:tcBorders>
              <w:bottom w:val="single" w:sz="4" w:space="0" w:color="auto"/>
            </w:tcBorders>
            <w:vAlign w:val="center"/>
          </w:tcPr>
          <w:p w14:paraId="051FA1D3" w14:textId="77777777" w:rsidR="004E3AC5" w:rsidRPr="00BE28C4" w:rsidRDefault="00907ADD">
            <w:pPr>
              <w:keepNext/>
              <w:keepLines/>
              <w:widowControl w:val="0"/>
              <w:autoSpaceDE w:val="0"/>
              <w:autoSpaceDN w:val="0"/>
              <w:adjustRightInd w:val="0"/>
              <w:spacing w:line="240" w:lineRule="auto"/>
              <w:rPr>
                <w:b/>
                <w:szCs w:val="22"/>
              </w:rPr>
            </w:pPr>
            <w:r w:rsidRPr="00BE28C4">
              <w:rPr>
                <w:b/>
                <w:szCs w:val="22"/>
              </w:rPr>
              <w:t>56. tydzień badania</w:t>
            </w:r>
          </w:p>
        </w:tc>
        <w:tc>
          <w:tcPr>
            <w:tcW w:w="1913" w:type="dxa"/>
            <w:gridSpan w:val="2"/>
            <w:tcBorders>
              <w:bottom w:val="single" w:sz="4" w:space="0" w:color="auto"/>
            </w:tcBorders>
            <w:vAlign w:val="center"/>
          </w:tcPr>
          <w:p w14:paraId="298FCF81" w14:textId="77777777" w:rsidR="004E3AC5" w:rsidRPr="00BE28C4" w:rsidRDefault="00907ADD">
            <w:pPr>
              <w:keepNext/>
              <w:keepLines/>
              <w:widowControl w:val="0"/>
              <w:autoSpaceDE w:val="0"/>
              <w:autoSpaceDN w:val="0"/>
              <w:adjustRightInd w:val="0"/>
              <w:spacing w:line="240" w:lineRule="auto"/>
              <w:rPr>
                <w:b/>
                <w:szCs w:val="22"/>
              </w:rPr>
            </w:pPr>
            <w:r w:rsidRPr="00BE28C4">
              <w:rPr>
                <w:b/>
                <w:szCs w:val="22"/>
              </w:rPr>
              <w:t>28. tydzień badania</w:t>
            </w:r>
          </w:p>
        </w:tc>
      </w:tr>
      <w:tr w:rsidR="004E3AC5" w:rsidRPr="00BE28C4" w14:paraId="77C20AEE" w14:textId="77777777">
        <w:trPr>
          <w:trHeight w:val="215"/>
          <w:jc w:val="center"/>
        </w:trPr>
        <w:tc>
          <w:tcPr>
            <w:tcW w:w="1548" w:type="dxa"/>
            <w:vMerge w:val="restart"/>
            <w:tcBorders>
              <w:bottom w:val="single" w:sz="4" w:space="0" w:color="auto"/>
            </w:tcBorders>
            <w:vAlign w:val="center"/>
          </w:tcPr>
          <w:p w14:paraId="79A89C3C" w14:textId="77777777" w:rsidR="004E3AC5" w:rsidRPr="00BE28C4" w:rsidRDefault="004E3AC5">
            <w:pPr>
              <w:keepNext/>
              <w:keepLines/>
              <w:widowControl w:val="0"/>
              <w:autoSpaceDE w:val="0"/>
              <w:autoSpaceDN w:val="0"/>
              <w:adjustRightInd w:val="0"/>
              <w:spacing w:line="240" w:lineRule="auto"/>
              <w:rPr>
                <w:b/>
                <w:szCs w:val="22"/>
              </w:rPr>
            </w:pPr>
          </w:p>
        </w:tc>
        <w:tc>
          <w:tcPr>
            <w:tcW w:w="1857" w:type="dxa"/>
            <w:gridSpan w:val="2"/>
            <w:tcBorders>
              <w:bottom w:val="single" w:sz="4" w:space="0" w:color="auto"/>
            </w:tcBorders>
            <w:vAlign w:val="center"/>
          </w:tcPr>
          <w:p w14:paraId="547EA042" w14:textId="77777777" w:rsidR="004E3AC5" w:rsidRPr="00BE28C4" w:rsidRDefault="00907ADD">
            <w:pPr>
              <w:keepNext/>
              <w:keepLines/>
              <w:widowControl w:val="0"/>
              <w:autoSpaceDE w:val="0"/>
              <w:autoSpaceDN w:val="0"/>
              <w:adjustRightInd w:val="0"/>
              <w:spacing w:line="240" w:lineRule="auto"/>
              <w:rPr>
                <w:b/>
                <w:szCs w:val="22"/>
              </w:rPr>
            </w:pPr>
            <w:r w:rsidRPr="00BE28C4">
              <w:rPr>
                <w:b/>
                <w:szCs w:val="22"/>
              </w:rPr>
              <w:t>Badanie</w:t>
            </w:r>
            <w:r w:rsidRPr="00BE28C4">
              <w:rPr>
                <w:b/>
                <w:szCs w:val="22"/>
              </w:rPr>
              <w:br/>
              <w:t>NB-301</w:t>
            </w:r>
          </w:p>
        </w:tc>
        <w:tc>
          <w:tcPr>
            <w:tcW w:w="1989" w:type="dxa"/>
            <w:gridSpan w:val="2"/>
            <w:tcBorders>
              <w:bottom w:val="single" w:sz="4" w:space="0" w:color="auto"/>
            </w:tcBorders>
            <w:vAlign w:val="center"/>
          </w:tcPr>
          <w:p w14:paraId="18D6E490" w14:textId="77777777" w:rsidR="004E3AC5" w:rsidRPr="00BE28C4" w:rsidRDefault="00907ADD">
            <w:pPr>
              <w:keepNext/>
              <w:keepLines/>
              <w:widowControl w:val="0"/>
              <w:autoSpaceDE w:val="0"/>
              <w:autoSpaceDN w:val="0"/>
              <w:adjustRightInd w:val="0"/>
              <w:spacing w:line="240" w:lineRule="auto"/>
              <w:rPr>
                <w:b/>
                <w:szCs w:val="22"/>
              </w:rPr>
            </w:pPr>
            <w:r w:rsidRPr="00BE28C4">
              <w:rPr>
                <w:b/>
                <w:szCs w:val="22"/>
              </w:rPr>
              <w:t>Badanie</w:t>
            </w:r>
            <w:r w:rsidRPr="00BE28C4">
              <w:rPr>
                <w:b/>
                <w:szCs w:val="22"/>
              </w:rPr>
              <w:br/>
              <w:t>NB-302</w:t>
            </w:r>
          </w:p>
        </w:tc>
        <w:tc>
          <w:tcPr>
            <w:tcW w:w="1985" w:type="dxa"/>
            <w:gridSpan w:val="2"/>
            <w:tcBorders>
              <w:bottom w:val="single" w:sz="4" w:space="0" w:color="auto"/>
            </w:tcBorders>
            <w:vAlign w:val="center"/>
          </w:tcPr>
          <w:p w14:paraId="070B20F6" w14:textId="77777777" w:rsidR="004E3AC5" w:rsidRPr="00BE28C4" w:rsidRDefault="00907ADD">
            <w:pPr>
              <w:keepNext/>
              <w:keepLines/>
              <w:widowControl w:val="0"/>
              <w:autoSpaceDE w:val="0"/>
              <w:autoSpaceDN w:val="0"/>
              <w:adjustRightInd w:val="0"/>
              <w:spacing w:line="240" w:lineRule="auto"/>
              <w:rPr>
                <w:b/>
                <w:szCs w:val="22"/>
              </w:rPr>
            </w:pPr>
            <w:r w:rsidRPr="00BE28C4">
              <w:rPr>
                <w:b/>
                <w:szCs w:val="22"/>
              </w:rPr>
              <w:t>Badanie</w:t>
            </w:r>
            <w:r w:rsidRPr="00BE28C4">
              <w:rPr>
                <w:b/>
                <w:szCs w:val="22"/>
              </w:rPr>
              <w:br/>
              <w:t>NB-304</w:t>
            </w:r>
          </w:p>
        </w:tc>
        <w:tc>
          <w:tcPr>
            <w:tcW w:w="1913" w:type="dxa"/>
            <w:gridSpan w:val="2"/>
            <w:tcBorders>
              <w:bottom w:val="single" w:sz="4" w:space="0" w:color="auto"/>
            </w:tcBorders>
            <w:vAlign w:val="center"/>
          </w:tcPr>
          <w:p w14:paraId="50FC3D21" w14:textId="77777777" w:rsidR="004E3AC5" w:rsidRPr="00BE28C4" w:rsidRDefault="00907ADD">
            <w:pPr>
              <w:keepNext/>
              <w:keepLines/>
              <w:widowControl w:val="0"/>
              <w:autoSpaceDE w:val="0"/>
              <w:autoSpaceDN w:val="0"/>
              <w:adjustRightInd w:val="0"/>
              <w:spacing w:line="240" w:lineRule="auto"/>
              <w:rPr>
                <w:b/>
                <w:szCs w:val="22"/>
              </w:rPr>
            </w:pPr>
            <w:r w:rsidRPr="00BE28C4">
              <w:rPr>
                <w:b/>
                <w:szCs w:val="22"/>
              </w:rPr>
              <w:t>Badanie</w:t>
            </w:r>
            <w:r w:rsidRPr="00BE28C4">
              <w:rPr>
                <w:b/>
                <w:szCs w:val="22"/>
              </w:rPr>
              <w:br/>
              <w:t>NB-303</w:t>
            </w:r>
          </w:p>
        </w:tc>
      </w:tr>
      <w:tr w:rsidR="004E3AC5" w:rsidRPr="00BE28C4" w14:paraId="44FE6866" w14:textId="77777777">
        <w:trPr>
          <w:trHeight w:val="123"/>
          <w:jc w:val="center"/>
        </w:trPr>
        <w:tc>
          <w:tcPr>
            <w:tcW w:w="1548" w:type="dxa"/>
            <w:vMerge/>
            <w:tcBorders>
              <w:top w:val="single" w:sz="4" w:space="0" w:color="auto"/>
              <w:bottom w:val="single" w:sz="4" w:space="0" w:color="auto"/>
              <w:right w:val="single" w:sz="4" w:space="0" w:color="auto"/>
            </w:tcBorders>
            <w:vAlign w:val="center"/>
          </w:tcPr>
          <w:p w14:paraId="6A2A3489" w14:textId="77777777" w:rsidR="004E3AC5" w:rsidRPr="00BE28C4" w:rsidRDefault="004E3AC5">
            <w:pPr>
              <w:keepNext/>
              <w:keepLines/>
              <w:widowControl w:val="0"/>
              <w:autoSpaceDE w:val="0"/>
              <w:autoSpaceDN w:val="0"/>
              <w:adjustRightInd w:val="0"/>
              <w:spacing w:line="240" w:lineRule="auto"/>
              <w:rPr>
                <w:b/>
                <w:szCs w:val="22"/>
              </w:rPr>
            </w:pPr>
          </w:p>
        </w:tc>
        <w:tc>
          <w:tcPr>
            <w:tcW w:w="864" w:type="dxa"/>
            <w:tcBorders>
              <w:top w:val="single" w:sz="4" w:space="0" w:color="auto"/>
              <w:left w:val="single" w:sz="4" w:space="0" w:color="auto"/>
              <w:bottom w:val="single" w:sz="4" w:space="0" w:color="auto"/>
              <w:right w:val="single" w:sz="4" w:space="0" w:color="auto"/>
            </w:tcBorders>
            <w:vAlign w:val="center"/>
          </w:tcPr>
          <w:p w14:paraId="702E5125" w14:textId="77777777" w:rsidR="004E3AC5" w:rsidRPr="00BE28C4" w:rsidRDefault="00907ADD">
            <w:pPr>
              <w:keepNext/>
              <w:keepLines/>
              <w:widowControl w:val="0"/>
              <w:autoSpaceDE w:val="0"/>
              <w:autoSpaceDN w:val="0"/>
              <w:adjustRightInd w:val="0"/>
              <w:spacing w:line="240" w:lineRule="auto"/>
              <w:rPr>
                <w:b/>
                <w:szCs w:val="22"/>
              </w:rPr>
            </w:pPr>
            <w:r w:rsidRPr="00BE28C4">
              <w:rPr>
                <w:b/>
                <w:szCs w:val="22"/>
              </w:rPr>
              <w:t xml:space="preserve">NB </w:t>
            </w:r>
          </w:p>
        </w:tc>
        <w:tc>
          <w:tcPr>
            <w:tcW w:w="993" w:type="dxa"/>
            <w:tcBorders>
              <w:top w:val="single" w:sz="4" w:space="0" w:color="auto"/>
              <w:left w:val="single" w:sz="4" w:space="0" w:color="auto"/>
              <w:bottom w:val="single" w:sz="4" w:space="0" w:color="auto"/>
              <w:right w:val="single" w:sz="4" w:space="0" w:color="auto"/>
            </w:tcBorders>
            <w:vAlign w:val="center"/>
          </w:tcPr>
          <w:p w14:paraId="3BEBEF6E" w14:textId="77777777" w:rsidR="004E3AC5" w:rsidRPr="00BE28C4" w:rsidRDefault="00907ADD">
            <w:pPr>
              <w:keepNext/>
              <w:keepLines/>
              <w:widowControl w:val="0"/>
              <w:autoSpaceDE w:val="0"/>
              <w:autoSpaceDN w:val="0"/>
              <w:adjustRightInd w:val="0"/>
              <w:spacing w:line="240" w:lineRule="auto"/>
              <w:rPr>
                <w:b/>
                <w:szCs w:val="22"/>
              </w:rPr>
            </w:pPr>
            <w:r w:rsidRPr="00BE28C4">
              <w:rPr>
                <w:b/>
                <w:szCs w:val="22"/>
              </w:rPr>
              <w:t>PBO</w:t>
            </w:r>
          </w:p>
        </w:tc>
        <w:tc>
          <w:tcPr>
            <w:tcW w:w="1002" w:type="dxa"/>
            <w:tcBorders>
              <w:top w:val="single" w:sz="4" w:space="0" w:color="auto"/>
              <w:left w:val="single" w:sz="4" w:space="0" w:color="auto"/>
              <w:bottom w:val="single" w:sz="4" w:space="0" w:color="auto"/>
              <w:right w:val="single" w:sz="4" w:space="0" w:color="auto"/>
            </w:tcBorders>
            <w:vAlign w:val="center"/>
          </w:tcPr>
          <w:p w14:paraId="654D1385" w14:textId="77777777" w:rsidR="004E3AC5" w:rsidRPr="00BE28C4" w:rsidRDefault="00907ADD">
            <w:pPr>
              <w:keepNext/>
              <w:keepLines/>
              <w:widowControl w:val="0"/>
              <w:autoSpaceDE w:val="0"/>
              <w:autoSpaceDN w:val="0"/>
              <w:adjustRightInd w:val="0"/>
              <w:spacing w:line="240" w:lineRule="auto"/>
              <w:rPr>
                <w:b/>
                <w:szCs w:val="22"/>
              </w:rPr>
            </w:pPr>
            <w:r w:rsidRPr="00BE28C4">
              <w:rPr>
                <w:b/>
                <w:szCs w:val="22"/>
              </w:rPr>
              <w:t>NB</w:t>
            </w:r>
          </w:p>
        </w:tc>
        <w:tc>
          <w:tcPr>
            <w:tcW w:w="987" w:type="dxa"/>
            <w:tcBorders>
              <w:top w:val="single" w:sz="4" w:space="0" w:color="auto"/>
              <w:left w:val="single" w:sz="4" w:space="0" w:color="auto"/>
              <w:bottom w:val="single" w:sz="4" w:space="0" w:color="auto"/>
              <w:right w:val="single" w:sz="4" w:space="0" w:color="auto"/>
            </w:tcBorders>
            <w:vAlign w:val="center"/>
          </w:tcPr>
          <w:p w14:paraId="58F2B6DF" w14:textId="77777777" w:rsidR="004E3AC5" w:rsidRPr="00BE28C4" w:rsidRDefault="00907ADD">
            <w:pPr>
              <w:keepNext/>
              <w:keepLines/>
              <w:widowControl w:val="0"/>
              <w:autoSpaceDE w:val="0"/>
              <w:autoSpaceDN w:val="0"/>
              <w:adjustRightInd w:val="0"/>
              <w:spacing w:line="240" w:lineRule="auto"/>
              <w:rPr>
                <w:b/>
                <w:szCs w:val="22"/>
              </w:rPr>
            </w:pPr>
            <w:r w:rsidRPr="00BE28C4">
              <w:rPr>
                <w:b/>
                <w:szCs w:val="22"/>
              </w:rPr>
              <w:t>PBO</w:t>
            </w:r>
          </w:p>
        </w:tc>
        <w:tc>
          <w:tcPr>
            <w:tcW w:w="1055" w:type="dxa"/>
            <w:tcBorders>
              <w:top w:val="single" w:sz="4" w:space="0" w:color="auto"/>
              <w:left w:val="single" w:sz="4" w:space="0" w:color="auto"/>
              <w:bottom w:val="single" w:sz="4" w:space="0" w:color="auto"/>
              <w:right w:val="single" w:sz="4" w:space="0" w:color="auto"/>
            </w:tcBorders>
            <w:vAlign w:val="center"/>
          </w:tcPr>
          <w:p w14:paraId="725E75E1" w14:textId="77777777" w:rsidR="004E3AC5" w:rsidRPr="00BE28C4" w:rsidRDefault="00907ADD">
            <w:pPr>
              <w:keepNext/>
              <w:keepLines/>
              <w:widowControl w:val="0"/>
              <w:autoSpaceDE w:val="0"/>
              <w:autoSpaceDN w:val="0"/>
              <w:adjustRightInd w:val="0"/>
              <w:spacing w:line="240" w:lineRule="auto"/>
              <w:rPr>
                <w:b/>
                <w:szCs w:val="22"/>
              </w:rPr>
            </w:pPr>
            <w:r w:rsidRPr="00BE28C4">
              <w:rPr>
                <w:b/>
                <w:szCs w:val="22"/>
              </w:rPr>
              <w:t>NB</w:t>
            </w:r>
          </w:p>
        </w:tc>
        <w:tc>
          <w:tcPr>
            <w:tcW w:w="930" w:type="dxa"/>
            <w:tcBorders>
              <w:top w:val="single" w:sz="4" w:space="0" w:color="auto"/>
              <w:left w:val="single" w:sz="4" w:space="0" w:color="auto"/>
              <w:bottom w:val="single" w:sz="4" w:space="0" w:color="auto"/>
              <w:right w:val="single" w:sz="4" w:space="0" w:color="auto"/>
            </w:tcBorders>
            <w:vAlign w:val="center"/>
          </w:tcPr>
          <w:p w14:paraId="2CDD3605" w14:textId="77777777" w:rsidR="004E3AC5" w:rsidRPr="00BE28C4" w:rsidRDefault="00907ADD">
            <w:pPr>
              <w:keepNext/>
              <w:keepLines/>
              <w:widowControl w:val="0"/>
              <w:autoSpaceDE w:val="0"/>
              <w:autoSpaceDN w:val="0"/>
              <w:adjustRightInd w:val="0"/>
              <w:spacing w:line="240" w:lineRule="auto"/>
              <w:rPr>
                <w:b/>
                <w:szCs w:val="22"/>
              </w:rPr>
            </w:pPr>
            <w:r w:rsidRPr="00BE28C4">
              <w:rPr>
                <w:b/>
                <w:szCs w:val="22"/>
              </w:rPr>
              <w:t>PBO</w:t>
            </w:r>
          </w:p>
        </w:tc>
        <w:tc>
          <w:tcPr>
            <w:tcW w:w="992" w:type="dxa"/>
            <w:tcBorders>
              <w:top w:val="single" w:sz="4" w:space="0" w:color="auto"/>
              <w:left w:val="single" w:sz="4" w:space="0" w:color="auto"/>
              <w:bottom w:val="single" w:sz="4" w:space="0" w:color="auto"/>
              <w:right w:val="single" w:sz="4" w:space="0" w:color="auto"/>
            </w:tcBorders>
            <w:vAlign w:val="center"/>
          </w:tcPr>
          <w:p w14:paraId="3D6E2C44" w14:textId="77777777" w:rsidR="004E3AC5" w:rsidRPr="00BE28C4" w:rsidRDefault="00907ADD">
            <w:pPr>
              <w:keepNext/>
              <w:keepLines/>
              <w:widowControl w:val="0"/>
              <w:autoSpaceDE w:val="0"/>
              <w:autoSpaceDN w:val="0"/>
              <w:adjustRightInd w:val="0"/>
              <w:spacing w:line="240" w:lineRule="auto"/>
              <w:rPr>
                <w:b/>
                <w:szCs w:val="22"/>
              </w:rPr>
            </w:pPr>
            <w:r w:rsidRPr="00BE28C4">
              <w:rPr>
                <w:b/>
                <w:szCs w:val="22"/>
              </w:rPr>
              <w:t>NB</w:t>
            </w:r>
          </w:p>
        </w:tc>
        <w:tc>
          <w:tcPr>
            <w:tcW w:w="921" w:type="dxa"/>
            <w:tcBorders>
              <w:top w:val="single" w:sz="4" w:space="0" w:color="auto"/>
              <w:left w:val="single" w:sz="4" w:space="0" w:color="auto"/>
              <w:bottom w:val="single" w:sz="4" w:space="0" w:color="auto"/>
            </w:tcBorders>
            <w:vAlign w:val="center"/>
          </w:tcPr>
          <w:p w14:paraId="46A50D5C" w14:textId="77777777" w:rsidR="004E3AC5" w:rsidRPr="00BE28C4" w:rsidRDefault="00907ADD">
            <w:pPr>
              <w:keepNext/>
              <w:keepLines/>
              <w:widowControl w:val="0"/>
              <w:autoSpaceDE w:val="0"/>
              <w:autoSpaceDN w:val="0"/>
              <w:adjustRightInd w:val="0"/>
              <w:spacing w:line="240" w:lineRule="auto"/>
              <w:rPr>
                <w:b/>
                <w:szCs w:val="22"/>
              </w:rPr>
            </w:pPr>
            <w:r w:rsidRPr="00BE28C4">
              <w:rPr>
                <w:b/>
                <w:szCs w:val="22"/>
              </w:rPr>
              <w:t>PBO</w:t>
            </w:r>
          </w:p>
        </w:tc>
      </w:tr>
      <w:tr w:rsidR="004E3AC5" w:rsidRPr="00BE28C4" w14:paraId="393476C4" w14:textId="77777777">
        <w:trPr>
          <w:trHeight w:val="215"/>
          <w:jc w:val="center"/>
        </w:trPr>
        <w:tc>
          <w:tcPr>
            <w:tcW w:w="9292" w:type="dxa"/>
            <w:gridSpan w:val="9"/>
            <w:tcBorders>
              <w:top w:val="single" w:sz="4" w:space="0" w:color="auto"/>
            </w:tcBorders>
            <w:vAlign w:val="center"/>
          </w:tcPr>
          <w:p w14:paraId="6EF7F30F" w14:textId="77777777" w:rsidR="004E3AC5" w:rsidRPr="00BE28C4" w:rsidRDefault="00907ADD">
            <w:pPr>
              <w:keepNext/>
              <w:keepLines/>
              <w:widowControl w:val="0"/>
              <w:autoSpaceDE w:val="0"/>
              <w:autoSpaceDN w:val="0"/>
              <w:adjustRightInd w:val="0"/>
              <w:spacing w:line="240" w:lineRule="auto"/>
              <w:rPr>
                <w:szCs w:val="22"/>
              </w:rPr>
            </w:pPr>
            <w:r w:rsidRPr="00BE28C4">
              <w:rPr>
                <w:b/>
                <w:szCs w:val="22"/>
              </w:rPr>
              <w:t>Pełna populacja do analizy</w:t>
            </w:r>
            <w:r w:rsidRPr="00BE28C4">
              <w:rPr>
                <w:szCs w:val="22"/>
                <w:vertAlign w:val="superscript"/>
              </w:rPr>
              <w:t>+</w:t>
            </w:r>
          </w:p>
        </w:tc>
      </w:tr>
      <w:tr w:rsidR="004E3AC5" w:rsidRPr="00BE28C4" w14:paraId="24336882" w14:textId="77777777">
        <w:trPr>
          <w:trHeight w:val="404"/>
          <w:jc w:val="center"/>
        </w:trPr>
        <w:tc>
          <w:tcPr>
            <w:tcW w:w="1548" w:type="dxa"/>
            <w:tcBorders>
              <w:right w:val="single" w:sz="4" w:space="0" w:color="auto"/>
            </w:tcBorders>
            <w:vAlign w:val="center"/>
          </w:tcPr>
          <w:p w14:paraId="2CBD21D5"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N</w:t>
            </w:r>
          </w:p>
        </w:tc>
        <w:tc>
          <w:tcPr>
            <w:tcW w:w="864" w:type="dxa"/>
            <w:tcBorders>
              <w:left w:val="single" w:sz="4" w:space="0" w:color="auto"/>
              <w:right w:val="single" w:sz="4" w:space="0" w:color="auto"/>
            </w:tcBorders>
            <w:vAlign w:val="center"/>
          </w:tcPr>
          <w:p w14:paraId="6EC7C00B" w14:textId="77777777" w:rsidR="004E3AC5" w:rsidRPr="00BE28C4" w:rsidRDefault="00907ADD">
            <w:pPr>
              <w:keepNext/>
              <w:autoSpaceDE w:val="0"/>
              <w:autoSpaceDN w:val="0"/>
              <w:adjustRightInd w:val="0"/>
              <w:spacing w:line="240" w:lineRule="auto"/>
              <w:rPr>
                <w:szCs w:val="22"/>
              </w:rPr>
            </w:pPr>
            <w:r w:rsidRPr="00BE28C4">
              <w:rPr>
                <w:szCs w:val="22"/>
              </w:rPr>
              <w:t>471</w:t>
            </w:r>
          </w:p>
        </w:tc>
        <w:tc>
          <w:tcPr>
            <w:tcW w:w="993" w:type="dxa"/>
            <w:tcBorders>
              <w:left w:val="single" w:sz="4" w:space="0" w:color="auto"/>
              <w:right w:val="single" w:sz="4" w:space="0" w:color="auto"/>
            </w:tcBorders>
            <w:vAlign w:val="center"/>
          </w:tcPr>
          <w:p w14:paraId="001F53C5" w14:textId="77777777" w:rsidR="004E3AC5" w:rsidRPr="00BE28C4" w:rsidRDefault="00907ADD">
            <w:pPr>
              <w:keepNext/>
              <w:autoSpaceDE w:val="0"/>
              <w:autoSpaceDN w:val="0"/>
              <w:adjustRightInd w:val="0"/>
              <w:spacing w:line="240" w:lineRule="auto"/>
              <w:rPr>
                <w:szCs w:val="22"/>
              </w:rPr>
            </w:pPr>
            <w:r w:rsidRPr="00BE28C4">
              <w:rPr>
                <w:szCs w:val="22"/>
              </w:rPr>
              <w:t>511</w:t>
            </w:r>
          </w:p>
        </w:tc>
        <w:tc>
          <w:tcPr>
            <w:tcW w:w="1002" w:type="dxa"/>
            <w:tcBorders>
              <w:left w:val="single" w:sz="4" w:space="0" w:color="auto"/>
              <w:right w:val="single" w:sz="4" w:space="0" w:color="auto"/>
            </w:tcBorders>
            <w:vAlign w:val="center"/>
          </w:tcPr>
          <w:p w14:paraId="4CDD6416" w14:textId="77777777" w:rsidR="004E3AC5" w:rsidRPr="00BE28C4" w:rsidRDefault="00907ADD">
            <w:pPr>
              <w:keepNext/>
              <w:autoSpaceDE w:val="0"/>
              <w:autoSpaceDN w:val="0"/>
              <w:adjustRightInd w:val="0"/>
              <w:spacing w:line="240" w:lineRule="auto"/>
              <w:rPr>
                <w:szCs w:val="22"/>
              </w:rPr>
            </w:pPr>
            <w:r w:rsidRPr="00BE28C4">
              <w:rPr>
                <w:szCs w:val="22"/>
              </w:rPr>
              <w:t>482</w:t>
            </w:r>
          </w:p>
        </w:tc>
        <w:tc>
          <w:tcPr>
            <w:tcW w:w="987" w:type="dxa"/>
            <w:tcBorders>
              <w:left w:val="single" w:sz="4" w:space="0" w:color="auto"/>
              <w:right w:val="single" w:sz="4" w:space="0" w:color="auto"/>
            </w:tcBorders>
            <w:vAlign w:val="center"/>
          </w:tcPr>
          <w:p w14:paraId="645590AF" w14:textId="77777777" w:rsidR="004E3AC5" w:rsidRPr="00BE28C4" w:rsidRDefault="00907ADD">
            <w:pPr>
              <w:keepNext/>
              <w:autoSpaceDE w:val="0"/>
              <w:autoSpaceDN w:val="0"/>
              <w:adjustRightInd w:val="0"/>
              <w:spacing w:line="240" w:lineRule="auto"/>
              <w:rPr>
                <w:szCs w:val="22"/>
              </w:rPr>
            </w:pPr>
            <w:r w:rsidRPr="00BE28C4">
              <w:rPr>
                <w:szCs w:val="22"/>
              </w:rPr>
              <w:t>193</w:t>
            </w:r>
          </w:p>
        </w:tc>
        <w:tc>
          <w:tcPr>
            <w:tcW w:w="1055" w:type="dxa"/>
            <w:tcBorders>
              <w:left w:val="single" w:sz="4" w:space="0" w:color="auto"/>
              <w:right w:val="single" w:sz="4" w:space="0" w:color="auto"/>
            </w:tcBorders>
            <w:vAlign w:val="center"/>
          </w:tcPr>
          <w:p w14:paraId="419C78FE" w14:textId="77777777" w:rsidR="004E3AC5" w:rsidRPr="00BE28C4" w:rsidRDefault="00907ADD">
            <w:pPr>
              <w:keepNext/>
              <w:autoSpaceDE w:val="0"/>
              <w:autoSpaceDN w:val="0"/>
              <w:adjustRightInd w:val="0"/>
              <w:spacing w:line="240" w:lineRule="auto"/>
              <w:rPr>
                <w:szCs w:val="22"/>
              </w:rPr>
            </w:pPr>
            <w:r w:rsidRPr="00BE28C4">
              <w:rPr>
                <w:szCs w:val="22"/>
              </w:rPr>
              <w:t>265</w:t>
            </w:r>
          </w:p>
        </w:tc>
        <w:tc>
          <w:tcPr>
            <w:tcW w:w="930" w:type="dxa"/>
            <w:tcBorders>
              <w:left w:val="single" w:sz="4" w:space="0" w:color="auto"/>
              <w:right w:val="single" w:sz="4" w:space="0" w:color="auto"/>
            </w:tcBorders>
            <w:vAlign w:val="center"/>
          </w:tcPr>
          <w:p w14:paraId="2ADA85EF" w14:textId="77777777" w:rsidR="004E3AC5" w:rsidRPr="00BE28C4" w:rsidRDefault="00907ADD">
            <w:pPr>
              <w:keepNext/>
              <w:autoSpaceDE w:val="0"/>
              <w:autoSpaceDN w:val="0"/>
              <w:adjustRightInd w:val="0"/>
              <w:spacing w:line="240" w:lineRule="auto"/>
              <w:rPr>
                <w:szCs w:val="22"/>
              </w:rPr>
            </w:pPr>
            <w:r w:rsidRPr="00BE28C4">
              <w:rPr>
                <w:szCs w:val="22"/>
              </w:rPr>
              <w:t>159</w:t>
            </w:r>
          </w:p>
        </w:tc>
        <w:tc>
          <w:tcPr>
            <w:tcW w:w="992" w:type="dxa"/>
            <w:tcBorders>
              <w:left w:val="single" w:sz="4" w:space="0" w:color="auto"/>
              <w:right w:val="single" w:sz="4" w:space="0" w:color="auto"/>
            </w:tcBorders>
            <w:vAlign w:val="center"/>
          </w:tcPr>
          <w:p w14:paraId="1C50FD9D" w14:textId="77777777" w:rsidR="004E3AC5" w:rsidRPr="00BE28C4" w:rsidRDefault="00907ADD">
            <w:pPr>
              <w:keepNext/>
              <w:autoSpaceDE w:val="0"/>
              <w:autoSpaceDN w:val="0"/>
              <w:adjustRightInd w:val="0"/>
              <w:spacing w:line="240" w:lineRule="auto"/>
              <w:rPr>
                <w:szCs w:val="22"/>
              </w:rPr>
            </w:pPr>
            <w:r w:rsidRPr="00BE28C4">
              <w:rPr>
                <w:szCs w:val="22"/>
              </w:rPr>
              <w:t>825</w:t>
            </w:r>
          </w:p>
        </w:tc>
        <w:tc>
          <w:tcPr>
            <w:tcW w:w="921" w:type="dxa"/>
            <w:tcBorders>
              <w:left w:val="single" w:sz="4" w:space="0" w:color="auto"/>
            </w:tcBorders>
            <w:vAlign w:val="center"/>
          </w:tcPr>
          <w:p w14:paraId="6A1E3711" w14:textId="77777777" w:rsidR="004E3AC5" w:rsidRPr="00BE28C4" w:rsidRDefault="00907ADD">
            <w:pPr>
              <w:keepNext/>
              <w:autoSpaceDE w:val="0"/>
              <w:autoSpaceDN w:val="0"/>
              <w:adjustRightInd w:val="0"/>
              <w:spacing w:line="240" w:lineRule="auto"/>
              <w:rPr>
                <w:szCs w:val="22"/>
              </w:rPr>
            </w:pPr>
            <w:r w:rsidRPr="00BE28C4">
              <w:rPr>
                <w:szCs w:val="22"/>
              </w:rPr>
              <w:t>456</w:t>
            </w:r>
          </w:p>
        </w:tc>
      </w:tr>
      <w:tr w:rsidR="004E3AC5" w:rsidRPr="00BE28C4" w14:paraId="4E7D54D4" w14:textId="77777777">
        <w:trPr>
          <w:trHeight w:val="521"/>
          <w:jc w:val="center"/>
        </w:trPr>
        <w:tc>
          <w:tcPr>
            <w:tcW w:w="1548" w:type="dxa"/>
            <w:tcBorders>
              <w:right w:val="single" w:sz="4" w:space="0" w:color="auto"/>
            </w:tcBorders>
            <w:vAlign w:val="center"/>
          </w:tcPr>
          <w:p w14:paraId="633D1B31"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Obwód talii, cm</w:t>
            </w:r>
          </w:p>
        </w:tc>
        <w:tc>
          <w:tcPr>
            <w:tcW w:w="864" w:type="dxa"/>
            <w:tcBorders>
              <w:left w:val="single" w:sz="4" w:space="0" w:color="auto"/>
              <w:right w:val="single" w:sz="4" w:space="0" w:color="auto"/>
            </w:tcBorders>
            <w:vAlign w:val="center"/>
          </w:tcPr>
          <w:p w14:paraId="3A490A15"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-6,2*</w:t>
            </w:r>
          </w:p>
        </w:tc>
        <w:tc>
          <w:tcPr>
            <w:tcW w:w="993" w:type="dxa"/>
            <w:tcBorders>
              <w:left w:val="single" w:sz="4" w:space="0" w:color="auto"/>
              <w:right w:val="single" w:sz="4" w:space="0" w:color="auto"/>
            </w:tcBorders>
            <w:vAlign w:val="center"/>
          </w:tcPr>
          <w:p w14:paraId="1F1494F5"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-2,5</w:t>
            </w:r>
          </w:p>
        </w:tc>
        <w:tc>
          <w:tcPr>
            <w:tcW w:w="1002" w:type="dxa"/>
            <w:tcBorders>
              <w:left w:val="single" w:sz="4" w:space="0" w:color="auto"/>
              <w:right w:val="single" w:sz="4" w:space="0" w:color="auto"/>
            </w:tcBorders>
            <w:vAlign w:val="center"/>
          </w:tcPr>
          <w:p w14:paraId="73A33FDC"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-10,0*</w:t>
            </w:r>
          </w:p>
        </w:tc>
        <w:tc>
          <w:tcPr>
            <w:tcW w:w="987" w:type="dxa"/>
            <w:tcBorders>
              <w:left w:val="single" w:sz="4" w:space="0" w:color="auto"/>
              <w:right w:val="single" w:sz="4" w:space="0" w:color="auto"/>
            </w:tcBorders>
            <w:vAlign w:val="center"/>
          </w:tcPr>
          <w:p w14:paraId="58D5D85A"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-6,8</w:t>
            </w:r>
          </w:p>
        </w:tc>
        <w:tc>
          <w:tcPr>
            <w:tcW w:w="1055" w:type="dxa"/>
            <w:tcBorders>
              <w:left w:val="single" w:sz="4" w:space="0" w:color="auto"/>
              <w:right w:val="single" w:sz="4" w:space="0" w:color="auto"/>
            </w:tcBorders>
            <w:vAlign w:val="center"/>
          </w:tcPr>
          <w:p w14:paraId="1ED9D13C"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-5,0*</w:t>
            </w:r>
          </w:p>
        </w:tc>
        <w:tc>
          <w:tcPr>
            <w:tcW w:w="930" w:type="dxa"/>
            <w:tcBorders>
              <w:left w:val="single" w:sz="4" w:space="0" w:color="auto"/>
              <w:right w:val="single" w:sz="4" w:space="0" w:color="auto"/>
            </w:tcBorders>
            <w:vAlign w:val="center"/>
          </w:tcPr>
          <w:p w14:paraId="253CAACA"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-2,9</w:t>
            </w:r>
          </w:p>
        </w:tc>
        <w:tc>
          <w:tcPr>
            <w:tcW w:w="992" w:type="dxa"/>
            <w:tcBorders>
              <w:left w:val="single" w:sz="4" w:space="0" w:color="auto"/>
              <w:right w:val="single" w:sz="4" w:space="0" w:color="auto"/>
            </w:tcBorders>
            <w:vAlign w:val="center"/>
          </w:tcPr>
          <w:p w14:paraId="2370BF82"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 xml:space="preserve">-6,2* </w:t>
            </w:r>
          </w:p>
        </w:tc>
        <w:tc>
          <w:tcPr>
            <w:tcW w:w="921" w:type="dxa"/>
            <w:tcBorders>
              <w:left w:val="single" w:sz="4" w:space="0" w:color="auto"/>
            </w:tcBorders>
            <w:vAlign w:val="center"/>
          </w:tcPr>
          <w:p w14:paraId="376F9394"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-2,7</w:t>
            </w:r>
          </w:p>
        </w:tc>
      </w:tr>
      <w:tr w:rsidR="004E3AC5" w:rsidRPr="00BE28C4" w14:paraId="40BEE16D" w14:textId="77777777">
        <w:trPr>
          <w:trHeight w:val="215"/>
          <w:jc w:val="center"/>
        </w:trPr>
        <w:tc>
          <w:tcPr>
            <w:tcW w:w="1548" w:type="dxa"/>
            <w:tcBorders>
              <w:bottom w:val="single" w:sz="4" w:space="0" w:color="auto"/>
              <w:right w:val="single" w:sz="4" w:space="0" w:color="auto"/>
            </w:tcBorders>
            <w:vAlign w:val="center"/>
          </w:tcPr>
          <w:p w14:paraId="392C2E78"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 xml:space="preserve">Stężenie </w:t>
            </w:r>
            <w:proofErr w:type="spellStart"/>
            <w:r w:rsidRPr="00BE28C4">
              <w:rPr>
                <w:szCs w:val="22"/>
              </w:rPr>
              <w:t>triglicerydów</w:t>
            </w:r>
            <w:proofErr w:type="spellEnd"/>
            <w:r w:rsidRPr="00BE28C4">
              <w:rPr>
                <w:szCs w:val="22"/>
              </w:rPr>
              <w:t>,</w:t>
            </w:r>
          </w:p>
          <w:p w14:paraId="6EFF892F"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 zmiana</w:t>
            </w:r>
          </w:p>
        </w:tc>
        <w:tc>
          <w:tcPr>
            <w:tcW w:w="864" w:type="dxa"/>
            <w:tcBorders>
              <w:left w:val="single" w:sz="4" w:space="0" w:color="auto"/>
              <w:bottom w:val="single" w:sz="4" w:space="0" w:color="auto"/>
              <w:right w:val="single" w:sz="4" w:space="0" w:color="auto"/>
            </w:tcBorders>
            <w:vAlign w:val="center"/>
          </w:tcPr>
          <w:p w14:paraId="5C3EB6E0"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-12,7*</w:t>
            </w:r>
          </w:p>
        </w:tc>
        <w:tc>
          <w:tcPr>
            <w:tcW w:w="993" w:type="dxa"/>
            <w:tcBorders>
              <w:left w:val="single" w:sz="4" w:space="0" w:color="auto"/>
              <w:bottom w:val="single" w:sz="4" w:space="0" w:color="auto"/>
              <w:right w:val="single" w:sz="4" w:space="0" w:color="auto"/>
            </w:tcBorders>
            <w:vAlign w:val="center"/>
          </w:tcPr>
          <w:p w14:paraId="6CFA914E"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-3,1</w:t>
            </w:r>
          </w:p>
        </w:tc>
        <w:tc>
          <w:tcPr>
            <w:tcW w:w="1002" w:type="dxa"/>
            <w:tcBorders>
              <w:left w:val="single" w:sz="4" w:space="0" w:color="auto"/>
              <w:bottom w:val="single" w:sz="4" w:space="0" w:color="auto"/>
              <w:right w:val="single" w:sz="4" w:space="0" w:color="auto"/>
            </w:tcBorders>
            <w:vAlign w:val="center"/>
          </w:tcPr>
          <w:p w14:paraId="63A546AF"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-16,6*</w:t>
            </w:r>
          </w:p>
        </w:tc>
        <w:tc>
          <w:tcPr>
            <w:tcW w:w="987" w:type="dxa"/>
            <w:tcBorders>
              <w:left w:val="single" w:sz="4" w:space="0" w:color="auto"/>
              <w:bottom w:val="single" w:sz="4" w:space="0" w:color="auto"/>
              <w:right w:val="single" w:sz="4" w:space="0" w:color="auto"/>
            </w:tcBorders>
            <w:vAlign w:val="center"/>
          </w:tcPr>
          <w:p w14:paraId="56959066"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-8,5</w:t>
            </w:r>
          </w:p>
        </w:tc>
        <w:tc>
          <w:tcPr>
            <w:tcW w:w="1055" w:type="dxa"/>
            <w:tcBorders>
              <w:left w:val="single" w:sz="4" w:space="0" w:color="auto"/>
              <w:bottom w:val="single" w:sz="4" w:space="0" w:color="auto"/>
              <w:right w:val="single" w:sz="4" w:space="0" w:color="auto"/>
            </w:tcBorders>
            <w:vAlign w:val="center"/>
          </w:tcPr>
          <w:p w14:paraId="42D17751"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-11,2*</w:t>
            </w:r>
          </w:p>
        </w:tc>
        <w:tc>
          <w:tcPr>
            <w:tcW w:w="930" w:type="dxa"/>
            <w:tcBorders>
              <w:left w:val="single" w:sz="4" w:space="0" w:color="auto"/>
              <w:bottom w:val="single" w:sz="4" w:space="0" w:color="auto"/>
              <w:right w:val="single" w:sz="4" w:space="0" w:color="auto"/>
            </w:tcBorders>
            <w:vAlign w:val="center"/>
          </w:tcPr>
          <w:p w14:paraId="78DB253B"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-0,8</w:t>
            </w:r>
          </w:p>
        </w:tc>
        <w:tc>
          <w:tcPr>
            <w:tcW w:w="992" w:type="dxa"/>
            <w:tcBorders>
              <w:left w:val="single" w:sz="4" w:space="0" w:color="auto"/>
              <w:bottom w:val="single" w:sz="4" w:space="0" w:color="auto"/>
              <w:right w:val="single" w:sz="4" w:space="0" w:color="auto"/>
            </w:tcBorders>
            <w:vAlign w:val="center"/>
          </w:tcPr>
          <w:p w14:paraId="0A303B3A"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-7,3*</w:t>
            </w:r>
          </w:p>
        </w:tc>
        <w:tc>
          <w:tcPr>
            <w:tcW w:w="921" w:type="dxa"/>
            <w:tcBorders>
              <w:left w:val="single" w:sz="4" w:space="0" w:color="auto"/>
              <w:bottom w:val="single" w:sz="4" w:space="0" w:color="auto"/>
            </w:tcBorders>
            <w:vAlign w:val="center"/>
          </w:tcPr>
          <w:p w14:paraId="775CDE08"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-1,4</w:t>
            </w:r>
          </w:p>
        </w:tc>
      </w:tr>
      <w:tr w:rsidR="004E3AC5" w:rsidRPr="00BE28C4" w14:paraId="474D227F" w14:textId="77777777">
        <w:trPr>
          <w:trHeight w:val="215"/>
          <w:jc w:val="center"/>
        </w:trPr>
        <w:tc>
          <w:tcPr>
            <w:tcW w:w="1548" w:type="dxa"/>
            <w:tcBorders>
              <w:bottom w:val="single" w:sz="4" w:space="0" w:color="auto"/>
              <w:right w:val="single" w:sz="4" w:space="0" w:color="auto"/>
            </w:tcBorders>
            <w:vAlign w:val="center"/>
          </w:tcPr>
          <w:p w14:paraId="75DAEAA3"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Stężenie</w:t>
            </w:r>
            <w:r w:rsidRPr="00BE28C4">
              <w:rPr>
                <w:szCs w:val="22"/>
              </w:rPr>
              <w:br/>
              <w:t xml:space="preserve">HDL-C, </w:t>
            </w:r>
          </w:p>
          <w:p w14:paraId="6A685976"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mg/dl</w:t>
            </w:r>
          </w:p>
        </w:tc>
        <w:tc>
          <w:tcPr>
            <w:tcW w:w="864" w:type="dxa"/>
            <w:tcBorders>
              <w:left w:val="single" w:sz="4" w:space="0" w:color="auto"/>
              <w:bottom w:val="single" w:sz="4" w:space="0" w:color="auto"/>
              <w:right w:val="single" w:sz="4" w:space="0" w:color="auto"/>
            </w:tcBorders>
            <w:vAlign w:val="center"/>
          </w:tcPr>
          <w:p w14:paraId="403CF396"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3,4*</w:t>
            </w:r>
          </w:p>
        </w:tc>
        <w:tc>
          <w:tcPr>
            <w:tcW w:w="993" w:type="dxa"/>
            <w:tcBorders>
              <w:left w:val="single" w:sz="4" w:space="0" w:color="auto"/>
              <w:bottom w:val="single" w:sz="4" w:space="0" w:color="auto"/>
              <w:right w:val="single" w:sz="4" w:space="0" w:color="auto"/>
            </w:tcBorders>
            <w:vAlign w:val="center"/>
          </w:tcPr>
          <w:p w14:paraId="7D5994A9"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-0,1</w:t>
            </w:r>
          </w:p>
        </w:tc>
        <w:tc>
          <w:tcPr>
            <w:tcW w:w="1002" w:type="dxa"/>
            <w:tcBorders>
              <w:left w:val="single" w:sz="4" w:space="0" w:color="auto"/>
              <w:bottom w:val="single" w:sz="4" w:space="0" w:color="auto"/>
              <w:right w:val="single" w:sz="4" w:space="0" w:color="auto"/>
            </w:tcBorders>
            <w:vAlign w:val="center"/>
          </w:tcPr>
          <w:p w14:paraId="70A9090F"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4,1*</w:t>
            </w:r>
          </w:p>
        </w:tc>
        <w:tc>
          <w:tcPr>
            <w:tcW w:w="987" w:type="dxa"/>
            <w:tcBorders>
              <w:left w:val="single" w:sz="4" w:space="0" w:color="auto"/>
              <w:bottom w:val="single" w:sz="4" w:space="0" w:color="auto"/>
              <w:right w:val="single" w:sz="4" w:space="0" w:color="auto"/>
            </w:tcBorders>
            <w:vAlign w:val="center"/>
          </w:tcPr>
          <w:p w14:paraId="1FCD736C"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0,9</w:t>
            </w:r>
          </w:p>
        </w:tc>
        <w:tc>
          <w:tcPr>
            <w:tcW w:w="1055" w:type="dxa"/>
            <w:tcBorders>
              <w:left w:val="single" w:sz="4" w:space="0" w:color="auto"/>
              <w:bottom w:val="single" w:sz="4" w:space="0" w:color="auto"/>
              <w:right w:val="single" w:sz="4" w:space="0" w:color="auto"/>
            </w:tcBorders>
            <w:vAlign w:val="center"/>
          </w:tcPr>
          <w:p w14:paraId="27D1AA29"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3,0*</w:t>
            </w:r>
          </w:p>
        </w:tc>
        <w:tc>
          <w:tcPr>
            <w:tcW w:w="930" w:type="dxa"/>
            <w:tcBorders>
              <w:left w:val="single" w:sz="4" w:space="0" w:color="auto"/>
              <w:bottom w:val="single" w:sz="4" w:space="0" w:color="auto"/>
              <w:right w:val="single" w:sz="4" w:space="0" w:color="auto"/>
            </w:tcBorders>
            <w:vAlign w:val="center"/>
          </w:tcPr>
          <w:p w14:paraId="3179BC04"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-0,3</w:t>
            </w:r>
          </w:p>
        </w:tc>
        <w:tc>
          <w:tcPr>
            <w:tcW w:w="992" w:type="dxa"/>
            <w:tcBorders>
              <w:left w:val="single" w:sz="4" w:space="0" w:color="auto"/>
              <w:bottom w:val="single" w:sz="4" w:space="0" w:color="auto"/>
              <w:right w:val="single" w:sz="4" w:space="0" w:color="auto"/>
            </w:tcBorders>
            <w:vAlign w:val="center"/>
          </w:tcPr>
          <w:p w14:paraId="262EA61E"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1,2*</w:t>
            </w:r>
          </w:p>
        </w:tc>
        <w:tc>
          <w:tcPr>
            <w:tcW w:w="921" w:type="dxa"/>
            <w:tcBorders>
              <w:left w:val="single" w:sz="4" w:space="0" w:color="auto"/>
              <w:bottom w:val="single" w:sz="4" w:space="0" w:color="auto"/>
            </w:tcBorders>
            <w:vAlign w:val="center"/>
          </w:tcPr>
          <w:p w14:paraId="66A79D5F"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-1,4</w:t>
            </w:r>
          </w:p>
        </w:tc>
      </w:tr>
      <w:tr w:rsidR="004E3AC5" w:rsidRPr="00BE28C4" w14:paraId="76DFE4C9" w14:textId="77777777">
        <w:trPr>
          <w:trHeight w:val="539"/>
          <w:jc w:val="center"/>
        </w:trPr>
        <w:tc>
          <w:tcPr>
            <w:tcW w:w="1548" w:type="dxa"/>
            <w:tcBorders>
              <w:bottom w:val="single" w:sz="4" w:space="0" w:color="auto"/>
              <w:right w:val="single" w:sz="4" w:space="0" w:color="auto"/>
            </w:tcBorders>
            <w:vAlign w:val="center"/>
          </w:tcPr>
          <w:p w14:paraId="75314BEF"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Stosunek LDL</w:t>
            </w:r>
            <w:r w:rsidRPr="00BE28C4">
              <w:rPr>
                <w:szCs w:val="22"/>
              </w:rPr>
              <w:noBreakHyphen/>
              <w:t>C/HDL</w:t>
            </w:r>
            <w:r w:rsidRPr="00BE28C4">
              <w:rPr>
                <w:szCs w:val="22"/>
              </w:rPr>
              <w:noBreakHyphen/>
              <w:t>C</w:t>
            </w:r>
          </w:p>
        </w:tc>
        <w:tc>
          <w:tcPr>
            <w:tcW w:w="864" w:type="dxa"/>
            <w:tcBorders>
              <w:left w:val="single" w:sz="4" w:space="0" w:color="auto"/>
              <w:bottom w:val="single" w:sz="4" w:space="0" w:color="auto"/>
              <w:right w:val="single" w:sz="4" w:space="0" w:color="auto"/>
            </w:tcBorders>
            <w:vAlign w:val="center"/>
          </w:tcPr>
          <w:p w14:paraId="7F3AFBF1"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-0,21*</w:t>
            </w:r>
          </w:p>
        </w:tc>
        <w:tc>
          <w:tcPr>
            <w:tcW w:w="993" w:type="dxa"/>
            <w:tcBorders>
              <w:left w:val="single" w:sz="4" w:space="0" w:color="auto"/>
              <w:bottom w:val="single" w:sz="4" w:space="0" w:color="auto"/>
              <w:right w:val="single" w:sz="4" w:space="0" w:color="auto"/>
            </w:tcBorders>
            <w:vAlign w:val="center"/>
          </w:tcPr>
          <w:p w14:paraId="14E050F4"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-0,05</w:t>
            </w:r>
          </w:p>
        </w:tc>
        <w:tc>
          <w:tcPr>
            <w:tcW w:w="1002" w:type="dxa"/>
            <w:tcBorders>
              <w:left w:val="single" w:sz="4" w:space="0" w:color="auto"/>
              <w:bottom w:val="single" w:sz="4" w:space="0" w:color="auto"/>
              <w:right w:val="single" w:sz="4" w:space="0" w:color="auto"/>
            </w:tcBorders>
            <w:vAlign w:val="center"/>
          </w:tcPr>
          <w:p w14:paraId="7C8E529D"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-0,05*</w:t>
            </w:r>
          </w:p>
        </w:tc>
        <w:tc>
          <w:tcPr>
            <w:tcW w:w="987" w:type="dxa"/>
            <w:tcBorders>
              <w:left w:val="single" w:sz="4" w:space="0" w:color="auto"/>
              <w:bottom w:val="single" w:sz="4" w:space="0" w:color="auto"/>
              <w:right w:val="single" w:sz="4" w:space="0" w:color="auto"/>
            </w:tcBorders>
            <w:vAlign w:val="center"/>
          </w:tcPr>
          <w:p w14:paraId="7B045727"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0,12</w:t>
            </w:r>
          </w:p>
        </w:tc>
        <w:tc>
          <w:tcPr>
            <w:tcW w:w="1055" w:type="dxa"/>
            <w:tcBorders>
              <w:left w:val="single" w:sz="4" w:space="0" w:color="auto"/>
              <w:bottom w:val="single" w:sz="4" w:space="0" w:color="auto"/>
              <w:right w:val="single" w:sz="4" w:space="0" w:color="auto"/>
            </w:tcBorders>
            <w:vAlign w:val="center"/>
          </w:tcPr>
          <w:p w14:paraId="709078C3"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-0,15*</w:t>
            </w:r>
          </w:p>
        </w:tc>
        <w:tc>
          <w:tcPr>
            <w:tcW w:w="930" w:type="dxa"/>
            <w:tcBorders>
              <w:left w:val="single" w:sz="4" w:space="0" w:color="auto"/>
              <w:bottom w:val="single" w:sz="4" w:space="0" w:color="auto"/>
              <w:right w:val="single" w:sz="4" w:space="0" w:color="auto"/>
            </w:tcBorders>
            <w:vAlign w:val="center"/>
          </w:tcPr>
          <w:p w14:paraId="7175CBF2"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0,04</w:t>
            </w:r>
          </w:p>
        </w:tc>
        <w:tc>
          <w:tcPr>
            <w:tcW w:w="992" w:type="dxa"/>
            <w:tcBorders>
              <w:left w:val="single" w:sz="4" w:space="0" w:color="auto"/>
              <w:bottom w:val="single" w:sz="4" w:space="0" w:color="auto"/>
              <w:right w:val="single" w:sz="4" w:space="0" w:color="auto"/>
            </w:tcBorders>
            <w:vAlign w:val="center"/>
          </w:tcPr>
          <w:p w14:paraId="4F1DED89"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-0,15*</w:t>
            </w:r>
          </w:p>
        </w:tc>
        <w:tc>
          <w:tcPr>
            <w:tcW w:w="921" w:type="dxa"/>
            <w:tcBorders>
              <w:left w:val="single" w:sz="4" w:space="0" w:color="auto"/>
              <w:bottom w:val="single" w:sz="4" w:space="0" w:color="auto"/>
            </w:tcBorders>
            <w:vAlign w:val="center"/>
          </w:tcPr>
          <w:p w14:paraId="4A2E8CE4"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0,07</w:t>
            </w:r>
          </w:p>
        </w:tc>
      </w:tr>
      <w:tr w:rsidR="004E3AC5" w:rsidRPr="00BE28C4" w14:paraId="232AE8AF" w14:textId="77777777">
        <w:trPr>
          <w:trHeight w:val="467"/>
          <w:jc w:val="center"/>
        </w:trPr>
        <w:tc>
          <w:tcPr>
            <w:tcW w:w="1548" w:type="dxa"/>
            <w:tcBorders>
              <w:bottom w:val="single" w:sz="4" w:space="0" w:color="auto"/>
              <w:right w:val="single" w:sz="4" w:space="0" w:color="auto"/>
            </w:tcBorders>
            <w:vAlign w:val="center"/>
          </w:tcPr>
          <w:p w14:paraId="0658EAAF"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HbA1c, %</w:t>
            </w:r>
          </w:p>
        </w:tc>
        <w:tc>
          <w:tcPr>
            <w:tcW w:w="3846" w:type="dxa"/>
            <w:gridSpan w:val="4"/>
            <w:tcBorders>
              <w:left w:val="single" w:sz="4" w:space="0" w:color="auto"/>
              <w:bottom w:val="single" w:sz="4" w:space="0" w:color="auto"/>
              <w:right w:val="single" w:sz="4" w:space="0" w:color="auto"/>
            </w:tcBorders>
            <w:vAlign w:val="center"/>
          </w:tcPr>
          <w:p w14:paraId="1C2FF233"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Nie dotyczy</w:t>
            </w:r>
          </w:p>
        </w:tc>
        <w:tc>
          <w:tcPr>
            <w:tcW w:w="1055" w:type="dxa"/>
            <w:tcBorders>
              <w:left w:val="single" w:sz="4" w:space="0" w:color="auto"/>
              <w:bottom w:val="single" w:sz="4" w:space="0" w:color="auto"/>
              <w:right w:val="single" w:sz="4" w:space="0" w:color="auto"/>
            </w:tcBorders>
            <w:vAlign w:val="center"/>
          </w:tcPr>
          <w:p w14:paraId="766B51F6"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-0,6*</w:t>
            </w:r>
          </w:p>
        </w:tc>
        <w:tc>
          <w:tcPr>
            <w:tcW w:w="930" w:type="dxa"/>
            <w:tcBorders>
              <w:left w:val="single" w:sz="4" w:space="0" w:color="auto"/>
              <w:bottom w:val="single" w:sz="4" w:space="0" w:color="auto"/>
              <w:right w:val="single" w:sz="4" w:space="0" w:color="auto"/>
            </w:tcBorders>
            <w:vAlign w:val="center"/>
          </w:tcPr>
          <w:p w14:paraId="0E34367E"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-0,1</w:t>
            </w:r>
          </w:p>
        </w:tc>
        <w:tc>
          <w:tcPr>
            <w:tcW w:w="1913" w:type="dxa"/>
            <w:gridSpan w:val="2"/>
            <w:tcBorders>
              <w:left w:val="single" w:sz="4" w:space="0" w:color="auto"/>
              <w:bottom w:val="single" w:sz="4" w:space="0" w:color="auto"/>
            </w:tcBorders>
            <w:vAlign w:val="center"/>
          </w:tcPr>
          <w:p w14:paraId="041B3773"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Nie dotyczy</w:t>
            </w:r>
          </w:p>
        </w:tc>
      </w:tr>
      <w:tr w:rsidR="004E3AC5" w:rsidRPr="00BE28C4" w14:paraId="5BFAC55E" w14:textId="77777777">
        <w:trPr>
          <w:trHeight w:val="215"/>
          <w:jc w:val="center"/>
        </w:trPr>
        <w:tc>
          <w:tcPr>
            <w:tcW w:w="1548" w:type="dxa"/>
            <w:tcBorders>
              <w:bottom w:val="single" w:sz="4" w:space="0" w:color="auto"/>
              <w:right w:val="single" w:sz="4" w:space="0" w:color="auto"/>
            </w:tcBorders>
            <w:vAlign w:val="center"/>
          </w:tcPr>
          <w:p w14:paraId="402D3400"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Glikemia na czczo, mg/dl</w:t>
            </w:r>
          </w:p>
        </w:tc>
        <w:tc>
          <w:tcPr>
            <w:tcW w:w="864" w:type="dxa"/>
            <w:tcBorders>
              <w:left w:val="single" w:sz="4" w:space="0" w:color="auto"/>
              <w:bottom w:val="single" w:sz="4" w:space="0" w:color="auto"/>
              <w:right w:val="single" w:sz="4" w:space="0" w:color="auto"/>
            </w:tcBorders>
            <w:vAlign w:val="center"/>
          </w:tcPr>
          <w:p w14:paraId="2130C735"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-3,2*</w:t>
            </w:r>
          </w:p>
        </w:tc>
        <w:tc>
          <w:tcPr>
            <w:tcW w:w="993" w:type="dxa"/>
            <w:tcBorders>
              <w:left w:val="single" w:sz="4" w:space="0" w:color="auto"/>
              <w:bottom w:val="single" w:sz="4" w:space="0" w:color="auto"/>
              <w:right w:val="single" w:sz="4" w:space="0" w:color="auto"/>
            </w:tcBorders>
            <w:vAlign w:val="center"/>
          </w:tcPr>
          <w:p w14:paraId="6757029C"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-1,3 </w:t>
            </w:r>
          </w:p>
        </w:tc>
        <w:tc>
          <w:tcPr>
            <w:tcW w:w="1002" w:type="dxa"/>
            <w:tcBorders>
              <w:left w:val="single" w:sz="4" w:space="0" w:color="auto"/>
              <w:bottom w:val="single" w:sz="4" w:space="0" w:color="auto"/>
              <w:right w:val="single" w:sz="4" w:space="0" w:color="auto"/>
            </w:tcBorders>
            <w:vAlign w:val="center"/>
          </w:tcPr>
          <w:p w14:paraId="100C0A05"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-2,4</w:t>
            </w:r>
          </w:p>
        </w:tc>
        <w:tc>
          <w:tcPr>
            <w:tcW w:w="987" w:type="dxa"/>
            <w:tcBorders>
              <w:left w:val="single" w:sz="4" w:space="0" w:color="auto"/>
              <w:bottom w:val="single" w:sz="4" w:space="0" w:color="auto"/>
              <w:right w:val="single" w:sz="4" w:space="0" w:color="auto"/>
            </w:tcBorders>
            <w:vAlign w:val="center"/>
          </w:tcPr>
          <w:p w14:paraId="38E91225"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-1,1</w:t>
            </w:r>
          </w:p>
        </w:tc>
        <w:tc>
          <w:tcPr>
            <w:tcW w:w="1055" w:type="dxa"/>
            <w:tcBorders>
              <w:left w:val="single" w:sz="4" w:space="0" w:color="auto"/>
              <w:bottom w:val="single" w:sz="4" w:space="0" w:color="auto"/>
              <w:right w:val="single" w:sz="4" w:space="0" w:color="auto"/>
            </w:tcBorders>
            <w:vAlign w:val="center"/>
          </w:tcPr>
          <w:p w14:paraId="6069F559"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-11,9</w:t>
            </w:r>
          </w:p>
        </w:tc>
        <w:tc>
          <w:tcPr>
            <w:tcW w:w="930" w:type="dxa"/>
            <w:tcBorders>
              <w:left w:val="single" w:sz="4" w:space="0" w:color="auto"/>
              <w:bottom w:val="single" w:sz="4" w:space="0" w:color="auto"/>
              <w:right w:val="single" w:sz="4" w:space="0" w:color="auto"/>
            </w:tcBorders>
            <w:vAlign w:val="center"/>
          </w:tcPr>
          <w:p w14:paraId="5BF6445A"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-4,0</w:t>
            </w:r>
          </w:p>
        </w:tc>
        <w:tc>
          <w:tcPr>
            <w:tcW w:w="992" w:type="dxa"/>
            <w:tcBorders>
              <w:left w:val="single" w:sz="4" w:space="0" w:color="auto"/>
              <w:bottom w:val="single" w:sz="4" w:space="0" w:color="auto"/>
              <w:right w:val="single" w:sz="4" w:space="0" w:color="auto"/>
            </w:tcBorders>
            <w:vAlign w:val="center"/>
          </w:tcPr>
          <w:p w14:paraId="11A9158D"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-2,1</w:t>
            </w:r>
          </w:p>
        </w:tc>
        <w:tc>
          <w:tcPr>
            <w:tcW w:w="921" w:type="dxa"/>
            <w:tcBorders>
              <w:left w:val="single" w:sz="4" w:space="0" w:color="auto"/>
              <w:bottom w:val="single" w:sz="4" w:space="0" w:color="auto"/>
            </w:tcBorders>
            <w:vAlign w:val="center"/>
          </w:tcPr>
          <w:p w14:paraId="1EAC886F"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-1,7</w:t>
            </w:r>
          </w:p>
        </w:tc>
      </w:tr>
      <w:tr w:rsidR="004E3AC5" w:rsidRPr="00BE28C4" w14:paraId="04E5FE07" w14:textId="77777777">
        <w:trPr>
          <w:trHeight w:val="863"/>
          <w:jc w:val="center"/>
        </w:trPr>
        <w:tc>
          <w:tcPr>
            <w:tcW w:w="1548" w:type="dxa"/>
            <w:tcBorders>
              <w:bottom w:val="single" w:sz="4" w:space="0" w:color="auto"/>
              <w:right w:val="single" w:sz="4" w:space="0" w:color="auto"/>
            </w:tcBorders>
            <w:vAlign w:val="center"/>
          </w:tcPr>
          <w:p w14:paraId="3E728615" w14:textId="77777777" w:rsidR="004E3AC5" w:rsidRPr="00BE28C4" w:rsidRDefault="00907ADD">
            <w:pPr>
              <w:keepNext/>
              <w:keepLines/>
              <w:widowControl w:val="0"/>
              <w:autoSpaceDE w:val="0"/>
              <w:autoSpaceDN w:val="0"/>
              <w:adjustRightInd w:val="0"/>
              <w:spacing w:line="240" w:lineRule="auto"/>
              <w:rPr>
                <w:szCs w:val="22"/>
              </w:rPr>
            </w:pPr>
            <w:proofErr w:type="spellStart"/>
            <w:r w:rsidRPr="00BE28C4">
              <w:rPr>
                <w:szCs w:val="22"/>
              </w:rPr>
              <w:t>Insulinemia</w:t>
            </w:r>
            <w:proofErr w:type="spellEnd"/>
            <w:r w:rsidRPr="00BE28C4">
              <w:rPr>
                <w:szCs w:val="22"/>
              </w:rPr>
              <w:t xml:space="preserve"> na czczo,</w:t>
            </w:r>
          </w:p>
          <w:p w14:paraId="4A8EB2CA"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 zmiana</w:t>
            </w:r>
          </w:p>
        </w:tc>
        <w:tc>
          <w:tcPr>
            <w:tcW w:w="864" w:type="dxa"/>
            <w:tcBorders>
              <w:left w:val="single" w:sz="4" w:space="0" w:color="auto"/>
              <w:bottom w:val="single" w:sz="4" w:space="0" w:color="auto"/>
              <w:right w:val="single" w:sz="4" w:space="0" w:color="auto"/>
            </w:tcBorders>
            <w:vAlign w:val="center"/>
          </w:tcPr>
          <w:p w14:paraId="5F6DBD15"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-17,1*</w:t>
            </w:r>
          </w:p>
        </w:tc>
        <w:tc>
          <w:tcPr>
            <w:tcW w:w="993" w:type="dxa"/>
            <w:tcBorders>
              <w:left w:val="single" w:sz="4" w:space="0" w:color="auto"/>
              <w:bottom w:val="single" w:sz="4" w:space="0" w:color="auto"/>
              <w:right w:val="single" w:sz="4" w:space="0" w:color="auto"/>
            </w:tcBorders>
            <w:vAlign w:val="center"/>
          </w:tcPr>
          <w:p w14:paraId="0FFBB655"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-4,6</w:t>
            </w:r>
          </w:p>
        </w:tc>
        <w:tc>
          <w:tcPr>
            <w:tcW w:w="1002" w:type="dxa"/>
            <w:tcBorders>
              <w:left w:val="single" w:sz="4" w:space="0" w:color="auto"/>
              <w:bottom w:val="single" w:sz="4" w:space="0" w:color="auto"/>
              <w:right w:val="single" w:sz="4" w:space="0" w:color="auto"/>
            </w:tcBorders>
            <w:vAlign w:val="center"/>
          </w:tcPr>
          <w:p w14:paraId="468E9D57"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-28,0*</w:t>
            </w:r>
          </w:p>
        </w:tc>
        <w:tc>
          <w:tcPr>
            <w:tcW w:w="987" w:type="dxa"/>
            <w:tcBorders>
              <w:left w:val="single" w:sz="4" w:space="0" w:color="auto"/>
              <w:bottom w:val="single" w:sz="4" w:space="0" w:color="auto"/>
              <w:right w:val="single" w:sz="4" w:space="0" w:color="auto"/>
            </w:tcBorders>
            <w:vAlign w:val="center"/>
          </w:tcPr>
          <w:p w14:paraId="6836F0DD"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-15,5</w:t>
            </w:r>
          </w:p>
        </w:tc>
        <w:tc>
          <w:tcPr>
            <w:tcW w:w="1055" w:type="dxa"/>
            <w:tcBorders>
              <w:left w:val="single" w:sz="4" w:space="0" w:color="auto"/>
              <w:bottom w:val="single" w:sz="4" w:space="0" w:color="auto"/>
              <w:right w:val="single" w:sz="4" w:space="0" w:color="auto"/>
            </w:tcBorders>
            <w:vAlign w:val="center"/>
          </w:tcPr>
          <w:p w14:paraId="1EC33B75"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-13,5</w:t>
            </w:r>
          </w:p>
        </w:tc>
        <w:tc>
          <w:tcPr>
            <w:tcW w:w="930" w:type="dxa"/>
            <w:tcBorders>
              <w:left w:val="single" w:sz="4" w:space="0" w:color="auto"/>
              <w:bottom w:val="single" w:sz="4" w:space="0" w:color="auto"/>
              <w:right w:val="single" w:sz="4" w:space="0" w:color="auto"/>
            </w:tcBorders>
            <w:vAlign w:val="center"/>
          </w:tcPr>
          <w:p w14:paraId="42CCC3EE"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-10,4</w:t>
            </w:r>
          </w:p>
        </w:tc>
        <w:tc>
          <w:tcPr>
            <w:tcW w:w="992" w:type="dxa"/>
            <w:tcBorders>
              <w:left w:val="single" w:sz="4" w:space="0" w:color="auto"/>
              <w:bottom w:val="single" w:sz="4" w:space="0" w:color="auto"/>
              <w:right w:val="single" w:sz="4" w:space="0" w:color="auto"/>
            </w:tcBorders>
            <w:vAlign w:val="center"/>
          </w:tcPr>
          <w:p w14:paraId="448565CA"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-14,1*</w:t>
            </w:r>
          </w:p>
        </w:tc>
        <w:tc>
          <w:tcPr>
            <w:tcW w:w="921" w:type="dxa"/>
            <w:tcBorders>
              <w:left w:val="single" w:sz="4" w:space="0" w:color="auto"/>
              <w:bottom w:val="single" w:sz="4" w:space="0" w:color="auto"/>
            </w:tcBorders>
            <w:vAlign w:val="center"/>
          </w:tcPr>
          <w:p w14:paraId="4C9ED88A"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-0,5</w:t>
            </w:r>
          </w:p>
        </w:tc>
      </w:tr>
      <w:tr w:rsidR="004E3AC5" w:rsidRPr="00BE28C4" w14:paraId="27BB0B86" w14:textId="77777777">
        <w:trPr>
          <w:trHeight w:val="215"/>
          <w:jc w:val="center"/>
        </w:trPr>
        <w:tc>
          <w:tcPr>
            <w:tcW w:w="1548" w:type="dxa"/>
            <w:tcBorders>
              <w:bottom w:val="single" w:sz="4" w:space="0" w:color="auto"/>
              <w:right w:val="single" w:sz="4" w:space="0" w:color="auto"/>
            </w:tcBorders>
            <w:vAlign w:val="center"/>
          </w:tcPr>
          <w:p w14:paraId="064F087F"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 xml:space="preserve">HOMA-IR, </w:t>
            </w:r>
          </w:p>
          <w:p w14:paraId="21059B39"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 zmiana</w:t>
            </w:r>
          </w:p>
        </w:tc>
        <w:tc>
          <w:tcPr>
            <w:tcW w:w="864" w:type="dxa"/>
            <w:tcBorders>
              <w:left w:val="single" w:sz="4" w:space="0" w:color="auto"/>
              <w:bottom w:val="single" w:sz="4" w:space="0" w:color="auto"/>
              <w:right w:val="single" w:sz="4" w:space="0" w:color="auto"/>
            </w:tcBorders>
            <w:vAlign w:val="center"/>
          </w:tcPr>
          <w:p w14:paraId="6F209E30"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-20,2*</w:t>
            </w:r>
          </w:p>
        </w:tc>
        <w:tc>
          <w:tcPr>
            <w:tcW w:w="993" w:type="dxa"/>
            <w:tcBorders>
              <w:left w:val="single" w:sz="4" w:space="0" w:color="auto"/>
              <w:bottom w:val="single" w:sz="4" w:space="0" w:color="auto"/>
              <w:right w:val="single" w:sz="4" w:space="0" w:color="auto"/>
            </w:tcBorders>
            <w:vAlign w:val="center"/>
          </w:tcPr>
          <w:p w14:paraId="51619863"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-5,9</w:t>
            </w:r>
          </w:p>
        </w:tc>
        <w:tc>
          <w:tcPr>
            <w:tcW w:w="1002" w:type="dxa"/>
            <w:tcBorders>
              <w:left w:val="single" w:sz="4" w:space="0" w:color="auto"/>
              <w:bottom w:val="single" w:sz="4" w:space="0" w:color="auto"/>
              <w:right w:val="single" w:sz="4" w:space="0" w:color="auto"/>
            </w:tcBorders>
            <w:vAlign w:val="center"/>
          </w:tcPr>
          <w:p w14:paraId="281FFF09"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-29,9*</w:t>
            </w:r>
          </w:p>
        </w:tc>
        <w:tc>
          <w:tcPr>
            <w:tcW w:w="987" w:type="dxa"/>
            <w:tcBorders>
              <w:left w:val="single" w:sz="4" w:space="0" w:color="auto"/>
              <w:bottom w:val="single" w:sz="4" w:space="0" w:color="auto"/>
              <w:right w:val="single" w:sz="4" w:space="0" w:color="auto"/>
            </w:tcBorders>
            <w:vAlign w:val="center"/>
          </w:tcPr>
          <w:p w14:paraId="6E87B36A"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-16,6</w:t>
            </w:r>
          </w:p>
        </w:tc>
        <w:tc>
          <w:tcPr>
            <w:tcW w:w="1055" w:type="dxa"/>
            <w:tcBorders>
              <w:left w:val="single" w:sz="4" w:space="0" w:color="auto"/>
              <w:bottom w:val="single" w:sz="4" w:space="0" w:color="auto"/>
              <w:right w:val="single" w:sz="4" w:space="0" w:color="auto"/>
            </w:tcBorders>
            <w:vAlign w:val="center"/>
          </w:tcPr>
          <w:p w14:paraId="66FADDB8"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-20,6</w:t>
            </w:r>
          </w:p>
        </w:tc>
        <w:tc>
          <w:tcPr>
            <w:tcW w:w="930" w:type="dxa"/>
            <w:tcBorders>
              <w:left w:val="single" w:sz="4" w:space="0" w:color="auto"/>
              <w:bottom w:val="single" w:sz="4" w:space="0" w:color="auto"/>
              <w:right w:val="single" w:sz="4" w:space="0" w:color="auto"/>
            </w:tcBorders>
            <w:vAlign w:val="center"/>
          </w:tcPr>
          <w:p w14:paraId="4118D18E"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-14,7</w:t>
            </w:r>
          </w:p>
        </w:tc>
        <w:tc>
          <w:tcPr>
            <w:tcW w:w="992" w:type="dxa"/>
            <w:tcBorders>
              <w:left w:val="single" w:sz="4" w:space="0" w:color="auto"/>
              <w:bottom w:val="single" w:sz="4" w:space="0" w:color="auto"/>
              <w:right w:val="single" w:sz="4" w:space="0" w:color="auto"/>
            </w:tcBorders>
            <w:vAlign w:val="center"/>
          </w:tcPr>
          <w:p w14:paraId="702C1C22"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-16,4*</w:t>
            </w:r>
          </w:p>
        </w:tc>
        <w:tc>
          <w:tcPr>
            <w:tcW w:w="921" w:type="dxa"/>
            <w:tcBorders>
              <w:left w:val="single" w:sz="4" w:space="0" w:color="auto"/>
              <w:bottom w:val="single" w:sz="4" w:space="0" w:color="auto"/>
            </w:tcBorders>
            <w:vAlign w:val="center"/>
          </w:tcPr>
          <w:p w14:paraId="6740459A" w14:textId="77777777" w:rsidR="004E3AC5" w:rsidRPr="00BE28C4" w:rsidRDefault="00907ADD">
            <w:pPr>
              <w:keepNext/>
              <w:keepLines/>
              <w:widowControl w:val="0"/>
              <w:autoSpaceDE w:val="0"/>
              <w:autoSpaceDN w:val="0"/>
              <w:adjustRightInd w:val="0"/>
              <w:spacing w:line="240" w:lineRule="auto"/>
              <w:rPr>
                <w:szCs w:val="22"/>
              </w:rPr>
            </w:pPr>
            <w:r w:rsidRPr="00BE28C4">
              <w:rPr>
                <w:szCs w:val="22"/>
              </w:rPr>
              <w:t>-4,2</w:t>
            </w:r>
          </w:p>
        </w:tc>
      </w:tr>
      <w:tr w:rsidR="004E3AC5" w:rsidRPr="00BE28C4" w14:paraId="48F03486" w14:textId="77777777">
        <w:trPr>
          <w:trHeight w:val="228"/>
          <w:jc w:val="center"/>
        </w:trPr>
        <w:tc>
          <w:tcPr>
            <w:tcW w:w="9292" w:type="dxa"/>
            <w:gridSpan w:val="9"/>
            <w:tcBorders>
              <w:left w:val="nil"/>
              <w:bottom w:val="nil"/>
              <w:right w:val="nil"/>
            </w:tcBorders>
            <w:vAlign w:val="center"/>
          </w:tcPr>
          <w:p w14:paraId="4DB5E0B5" w14:textId="77777777" w:rsidR="004E3AC5" w:rsidRPr="00BE28C4" w:rsidRDefault="00907ADD">
            <w:pPr>
              <w:keepNext/>
              <w:keepLines/>
              <w:widowControl w:val="0"/>
              <w:tabs>
                <w:tab w:val="left" w:pos="306"/>
              </w:tabs>
              <w:autoSpaceDE w:val="0"/>
              <w:autoSpaceDN w:val="0"/>
              <w:adjustRightInd w:val="0"/>
              <w:spacing w:line="240" w:lineRule="auto"/>
              <w:rPr>
                <w:szCs w:val="22"/>
              </w:rPr>
            </w:pPr>
            <w:r w:rsidRPr="00BE28C4">
              <w:rPr>
                <w:szCs w:val="22"/>
                <w:vertAlign w:val="superscript"/>
              </w:rPr>
              <w:t>+</w:t>
            </w:r>
            <w:r w:rsidRPr="00BE28C4">
              <w:rPr>
                <w:szCs w:val="22"/>
              </w:rPr>
              <w:tab/>
              <w:t xml:space="preserve">Z </w:t>
            </w:r>
            <w:proofErr w:type="spellStart"/>
            <w:r w:rsidRPr="00BE28C4">
              <w:rPr>
                <w:szCs w:val="22"/>
              </w:rPr>
              <w:t>zastooswaniem</w:t>
            </w:r>
            <w:proofErr w:type="spellEnd"/>
            <w:r w:rsidRPr="00BE28C4">
              <w:rPr>
                <w:szCs w:val="22"/>
              </w:rPr>
              <w:t xml:space="preserve"> metody LOCF polegającej na zastępowaniu brakującej wartości danego parametru wartością poprzedzającą.</w:t>
            </w:r>
          </w:p>
          <w:p w14:paraId="557A4F1A" w14:textId="77777777" w:rsidR="004E3AC5" w:rsidRPr="00BE28C4" w:rsidRDefault="00907ADD">
            <w:pPr>
              <w:keepNext/>
              <w:keepLines/>
              <w:widowControl w:val="0"/>
              <w:tabs>
                <w:tab w:val="left" w:pos="306"/>
              </w:tabs>
              <w:autoSpaceDE w:val="0"/>
              <w:autoSpaceDN w:val="0"/>
              <w:adjustRightInd w:val="0"/>
              <w:spacing w:line="240" w:lineRule="auto"/>
              <w:rPr>
                <w:szCs w:val="22"/>
              </w:rPr>
            </w:pPr>
            <w:r w:rsidRPr="00BE28C4">
              <w:rPr>
                <w:szCs w:val="22"/>
              </w:rPr>
              <w:t>*</w:t>
            </w:r>
            <w:r w:rsidRPr="00BE28C4">
              <w:rPr>
                <w:szCs w:val="22"/>
              </w:rPr>
              <w:tab/>
              <w:t>W porównaniu z grupą placebo — p &lt; 0,05 (wartości nominalne).</w:t>
            </w:r>
          </w:p>
          <w:p w14:paraId="50397FFF" w14:textId="77777777" w:rsidR="004E3AC5" w:rsidRPr="00BE28C4" w:rsidRDefault="00907ADD">
            <w:pPr>
              <w:keepNext/>
              <w:keepLines/>
              <w:widowControl w:val="0"/>
              <w:tabs>
                <w:tab w:val="left" w:pos="306"/>
              </w:tabs>
              <w:autoSpaceDE w:val="0"/>
              <w:autoSpaceDN w:val="0"/>
              <w:adjustRightInd w:val="0"/>
              <w:spacing w:line="240" w:lineRule="auto"/>
              <w:rPr>
                <w:szCs w:val="22"/>
              </w:rPr>
            </w:pPr>
            <w:r w:rsidRPr="00BE28C4">
              <w:rPr>
                <w:szCs w:val="22"/>
              </w:rPr>
              <w:t>Badania NB</w:t>
            </w:r>
            <w:r w:rsidRPr="00BE28C4">
              <w:rPr>
                <w:szCs w:val="22"/>
              </w:rPr>
              <w:noBreakHyphen/>
              <w:t>301, NB</w:t>
            </w:r>
            <w:r w:rsidRPr="00BE28C4">
              <w:rPr>
                <w:szCs w:val="22"/>
              </w:rPr>
              <w:noBreakHyphen/>
              <w:t>302 i NB</w:t>
            </w:r>
            <w:r w:rsidRPr="00BE28C4">
              <w:rPr>
                <w:szCs w:val="22"/>
              </w:rPr>
              <w:noBreakHyphen/>
              <w:t>303 przeprowadzono z udziałem pacjentów z otyłością bez chorób towarzyszących lub pacjentów z nadwagą lub otyłością i chorobami towarzyszącymi. W badaniu NB</w:t>
            </w:r>
            <w:r w:rsidRPr="00BE28C4">
              <w:rPr>
                <w:szCs w:val="22"/>
              </w:rPr>
              <w:noBreakHyphen/>
              <w:t>302 stosowano bardziej intensywny program zmian zachowania, natomiast w badaniu NB</w:t>
            </w:r>
            <w:r w:rsidRPr="00BE28C4">
              <w:rPr>
                <w:szCs w:val="22"/>
              </w:rPr>
              <w:noBreakHyphen/>
              <w:t>303 ocena pierwszorzędowego punktu końcowego następowała w 28 tygodniu, aby umożliwić ponowną randomizację do grup różniących się stosowanymi dawkami przez pozostały okres badania. Badanie NB</w:t>
            </w:r>
            <w:r w:rsidRPr="00BE28C4">
              <w:rPr>
                <w:szCs w:val="22"/>
              </w:rPr>
              <w:noBreakHyphen/>
              <w:t>304 przeprowadzono z udziałem pacjentów z nadwagą lub otyłością oraz cukrzycą typu 2.</w:t>
            </w:r>
          </w:p>
        </w:tc>
      </w:tr>
    </w:tbl>
    <w:p w14:paraId="421BDF2F" w14:textId="77777777" w:rsidR="004E3AC5" w:rsidRPr="00BE28C4" w:rsidRDefault="004E3AC5">
      <w:pPr>
        <w:autoSpaceDE w:val="0"/>
        <w:autoSpaceDN w:val="0"/>
        <w:adjustRightInd w:val="0"/>
        <w:spacing w:line="240" w:lineRule="auto"/>
        <w:rPr>
          <w:szCs w:val="22"/>
        </w:rPr>
      </w:pPr>
    </w:p>
    <w:p w14:paraId="424DD422" w14:textId="77777777" w:rsidR="004E3AC5" w:rsidRPr="00BE28C4" w:rsidRDefault="00907ADD">
      <w:pPr>
        <w:autoSpaceDE w:val="0"/>
        <w:autoSpaceDN w:val="0"/>
        <w:adjustRightInd w:val="0"/>
        <w:spacing w:line="240" w:lineRule="auto"/>
        <w:rPr>
          <w:b/>
          <w:szCs w:val="22"/>
        </w:rPr>
      </w:pPr>
      <w:r w:rsidRPr="00BE28C4">
        <w:rPr>
          <w:i/>
          <w:szCs w:val="22"/>
        </w:rPr>
        <w:t>Wpływ na skład ciała</w:t>
      </w:r>
      <w:r w:rsidRPr="00BE28C4">
        <w:rPr>
          <w:b/>
          <w:szCs w:val="22"/>
        </w:rPr>
        <w:t xml:space="preserve"> </w:t>
      </w:r>
    </w:p>
    <w:p w14:paraId="3ECFEFD2" w14:textId="77777777" w:rsidR="004E3AC5" w:rsidRPr="00BE28C4" w:rsidRDefault="00907ADD">
      <w:pPr>
        <w:autoSpaceDE w:val="0"/>
        <w:autoSpaceDN w:val="0"/>
        <w:adjustRightInd w:val="0"/>
        <w:spacing w:line="240" w:lineRule="auto"/>
        <w:rPr>
          <w:szCs w:val="22"/>
        </w:rPr>
      </w:pPr>
      <w:r w:rsidRPr="00BE28C4">
        <w:rPr>
          <w:szCs w:val="22"/>
        </w:rPr>
        <w:t xml:space="preserve">W podgrupie pacjentów oznaczano skład ciała metodą </w:t>
      </w:r>
      <w:proofErr w:type="spellStart"/>
      <w:r w:rsidRPr="00BE28C4">
        <w:rPr>
          <w:szCs w:val="22"/>
        </w:rPr>
        <w:t>absorpcjometrii</w:t>
      </w:r>
      <w:proofErr w:type="spellEnd"/>
      <w:r w:rsidRPr="00BE28C4">
        <w:rPr>
          <w:szCs w:val="22"/>
        </w:rPr>
        <w:t xml:space="preserve"> podwójnej wiązki promieniowania rentgenowskiego (DEXA) (79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i 45 pacjentów otrzymujących placebo) oraz wielorzędowej tomografii komputerowej (34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i 24 pacjentów otrzymujących placebo). Ocena metodą DEXA wykazała, że stosowanie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było związane z większą redukcją w stosunku do wartości wyjściowych całkowitej masy tkanki tłuszczowej w organizmie oraz masy trzewnej tkanki tłuszczowej niż miało to miejsce w przypadku placebo. Jak należało się spodziewać, u pacjentów otrzymujących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stwierdzono większy w porównaniu do grupy placebo średni wzrost odsetka całkowitej beztłuszczowej masy ciała w stosunku do wartości wyjściowych. Wyniki te wskazują, że uzyskana redukcja masy ciała wynikała głównie z redukcji masy tkanki tłuszczowej, w tym trzewnej tkanki tłuszczowej.</w:t>
      </w:r>
    </w:p>
    <w:p w14:paraId="4A303277" w14:textId="77777777" w:rsidR="004E3AC5" w:rsidRPr="00BE28C4" w:rsidRDefault="004E3AC5">
      <w:pPr>
        <w:autoSpaceDE w:val="0"/>
        <w:autoSpaceDN w:val="0"/>
        <w:adjustRightInd w:val="0"/>
        <w:spacing w:line="240" w:lineRule="auto"/>
        <w:rPr>
          <w:szCs w:val="22"/>
        </w:rPr>
      </w:pPr>
    </w:p>
    <w:p w14:paraId="360CDDA4" w14:textId="77777777" w:rsidR="004E3AC5" w:rsidRPr="00BE28C4" w:rsidRDefault="00907ADD">
      <w:pPr>
        <w:keepNext/>
        <w:spacing w:line="240" w:lineRule="auto"/>
        <w:ind w:left="567" w:hanging="567"/>
        <w:rPr>
          <w:bCs/>
          <w:iCs/>
          <w:szCs w:val="22"/>
          <w:u w:val="single"/>
        </w:rPr>
      </w:pPr>
      <w:r w:rsidRPr="00BE28C4">
        <w:rPr>
          <w:szCs w:val="22"/>
          <w:u w:val="single"/>
        </w:rPr>
        <w:lastRenderedPageBreak/>
        <w:t>Dzieci i młodzież</w:t>
      </w:r>
    </w:p>
    <w:p w14:paraId="269FB153" w14:textId="77777777" w:rsidR="004E3AC5" w:rsidRPr="00BE28C4" w:rsidRDefault="00907ADD">
      <w:pPr>
        <w:autoSpaceDE w:val="0"/>
        <w:autoSpaceDN w:val="0"/>
        <w:adjustRightInd w:val="0"/>
        <w:spacing w:line="240" w:lineRule="auto"/>
        <w:rPr>
          <w:szCs w:val="22"/>
        </w:rPr>
      </w:pPr>
      <w:r w:rsidRPr="00BE28C4">
        <w:rPr>
          <w:szCs w:val="22"/>
        </w:rPr>
        <w:t xml:space="preserve">Europejska Agencja Leków wstrzymała obowiązek dołączania wyników badań produktu leczniczego </w:t>
      </w:r>
      <w:proofErr w:type="spellStart"/>
      <w:r w:rsidRPr="00BE28C4">
        <w:rPr>
          <w:szCs w:val="22"/>
        </w:rPr>
        <w:t>Mysimba</w:t>
      </w:r>
      <w:proofErr w:type="spellEnd"/>
      <w:r w:rsidRPr="00BE28C4">
        <w:rPr>
          <w:szCs w:val="22"/>
        </w:rPr>
        <w:t xml:space="preserve"> w jednej lub kilku podgrupach populacji dzieci i młodzieży z otyłością (stosowanie u dzieci i młodzieży, patrz punkt 4.2).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nie należy stosować u dzieci i młodzieży.</w:t>
      </w:r>
    </w:p>
    <w:p w14:paraId="57628156" w14:textId="77777777" w:rsidR="004E3AC5" w:rsidRPr="00BE28C4" w:rsidRDefault="004E3AC5">
      <w:pPr>
        <w:numPr>
          <w:ilvl w:val="12"/>
          <w:numId w:val="0"/>
        </w:numPr>
        <w:spacing w:line="240" w:lineRule="auto"/>
        <w:ind w:right="-2"/>
        <w:rPr>
          <w:iCs/>
          <w:szCs w:val="22"/>
        </w:rPr>
      </w:pPr>
    </w:p>
    <w:p w14:paraId="7908A551" w14:textId="77777777" w:rsidR="004E3AC5" w:rsidRPr="00BE28C4" w:rsidRDefault="00907ADD">
      <w:pPr>
        <w:spacing w:line="240" w:lineRule="auto"/>
        <w:ind w:left="567" w:hanging="567"/>
        <w:outlineLvl w:val="0"/>
        <w:rPr>
          <w:b/>
          <w:szCs w:val="22"/>
        </w:rPr>
      </w:pPr>
      <w:r w:rsidRPr="00BE28C4">
        <w:rPr>
          <w:b/>
          <w:szCs w:val="22"/>
        </w:rPr>
        <w:t>5.2</w:t>
      </w:r>
      <w:r w:rsidRPr="00BE28C4">
        <w:rPr>
          <w:szCs w:val="22"/>
        </w:rPr>
        <w:tab/>
      </w:r>
      <w:r w:rsidRPr="00BE28C4">
        <w:rPr>
          <w:b/>
          <w:szCs w:val="22"/>
        </w:rPr>
        <w:t>Właściwości farmakokinetyczne</w:t>
      </w:r>
    </w:p>
    <w:p w14:paraId="5BBB15E7" w14:textId="77777777" w:rsidR="004E3AC5" w:rsidRPr="00BE28C4" w:rsidRDefault="004E3AC5">
      <w:pPr>
        <w:spacing w:line="240" w:lineRule="auto"/>
        <w:ind w:left="567" w:hanging="567"/>
        <w:outlineLvl w:val="0"/>
        <w:rPr>
          <w:bCs/>
          <w:szCs w:val="22"/>
        </w:rPr>
      </w:pPr>
    </w:p>
    <w:p w14:paraId="334413F6" w14:textId="77777777" w:rsidR="004E3AC5" w:rsidRPr="00BE28C4" w:rsidRDefault="00907ADD">
      <w:pPr>
        <w:spacing w:line="240" w:lineRule="auto"/>
        <w:rPr>
          <w:bCs/>
          <w:iCs/>
          <w:szCs w:val="22"/>
        </w:rPr>
      </w:pPr>
      <w:r w:rsidRPr="00BE28C4">
        <w:rPr>
          <w:szCs w:val="22"/>
        </w:rPr>
        <w:t xml:space="preserve">W przeprowadzonym badaniu biodostępności względnej po podaniu pojedynczej dawki zdrowym ochotnikom wykazano, że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 postaci tabletek, po odpowiednim dostosowaniu dawki, jest </w:t>
      </w:r>
      <w:proofErr w:type="spellStart"/>
      <w:r w:rsidRPr="00BE28C4">
        <w:rPr>
          <w:szCs w:val="22"/>
        </w:rPr>
        <w:t>biorównoważne</w:t>
      </w:r>
      <w:proofErr w:type="spellEnd"/>
      <w:r w:rsidRPr="00BE28C4">
        <w:rPr>
          <w:szCs w:val="22"/>
        </w:rPr>
        <w:t xml:space="preserve"> w zakresie średnich wartości AUC</w:t>
      </w:r>
      <w:r w:rsidRPr="00BE28C4">
        <w:rPr>
          <w:szCs w:val="22"/>
          <w:vertAlign w:val="subscript"/>
        </w:rPr>
        <w:t xml:space="preserve">0-∞ </w:t>
      </w:r>
      <w:r w:rsidRPr="00BE28C4">
        <w:rPr>
          <w:szCs w:val="22"/>
        </w:rPr>
        <w:t xml:space="preserve">i 90% przedziałów ufności </w:t>
      </w:r>
      <w:proofErr w:type="spellStart"/>
      <w:r w:rsidRPr="00BE28C4">
        <w:rPr>
          <w:szCs w:val="22"/>
        </w:rPr>
        <w:t>naltreksonowi</w:t>
      </w:r>
      <w:proofErr w:type="spellEnd"/>
      <w:r w:rsidRPr="00BE28C4">
        <w:rPr>
          <w:szCs w:val="22"/>
        </w:rPr>
        <w:t xml:space="preserve"> w postaci o natychmiastowym uwalnianiu (IR) lub </w:t>
      </w:r>
      <w:proofErr w:type="spellStart"/>
      <w:r w:rsidRPr="00BE28C4">
        <w:rPr>
          <w:szCs w:val="22"/>
        </w:rPr>
        <w:t>bupropionowi</w:t>
      </w:r>
      <w:proofErr w:type="spellEnd"/>
      <w:r w:rsidRPr="00BE28C4">
        <w:rPr>
          <w:szCs w:val="22"/>
        </w:rPr>
        <w:t xml:space="preserve"> w postaci o przedłużonym uwalnianiu (PR) podawanym w </w:t>
      </w:r>
      <w:proofErr w:type="spellStart"/>
      <w:r w:rsidRPr="00BE28C4">
        <w:rPr>
          <w:szCs w:val="22"/>
        </w:rPr>
        <w:t>monoterapii</w:t>
      </w:r>
      <w:proofErr w:type="spellEnd"/>
      <w:r w:rsidRPr="00BE28C4">
        <w:rPr>
          <w:szCs w:val="22"/>
        </w:rPr>
        <w:t>.</w:t>
      </w:r>
    </w:p>
    <w:p w14:paraId="55BEA46D" w14:textId="77777777" w:rsidR="004E3AC5" w:rsidRPr="00BE28C4" w:rsidRDefault="004E3AC5">
      <w:pPr>
        <w:spacing w:line="240" w:lineRule="auto"/>
        <w:rPr>
          <w:bCs/>
          <w:i/>
          <w:iCs/>
          <w:szCs w:val="22"/>
        </w:rPr>
      </w:pPr>
    </w:p>
    <w:p w14:paraId="0DB6BE32" w14:textId="77777777" w:rsidR="004E3AC5" w:rsidRPr="00BE28C4" w:rsidRDefault="00907ADD">
      <w:pPr>
        <w:spacing w:line="240" w:lineRule="auto"/>
        <w:rPr>
          <w:bCs/>
          <w:i/>
          <w:iCs/>
          <w:szCs w:val="22"/>
        </w:rPr>
      </w:pPr>
      <w:r w:rsidRPr="00BE28C4">
        <w:rPr>
          <w:i/>
          <w:szCs w:val="22"/>
        </w:rPr>
        <w:t>Wchłanianie:</w:t>
      </w:r>
    </w:p>
    <w:p w14:paraId="36AB3A6A" w14:textId="77777777" w:rsidR="004E3AC5" w:rsidRPr="00BE28C4" w:rsidRDefault="00907ADD">
      <w:pPr>
        <w:spacing w:line="240" w:lineRule="auto"/>
        <w:rPr>
          <w:rStyle w:val="StyleTimesNewRoman"/>
          <w:sz w:val="22"/>
          <w:szCs w:val="22"/>
        </w:rPr>
      </w:pPr>
      <w:r w:rsidRPr="00BE28C4">
        <w:rPr>
          <w:szCs w:val="22"/>
        </w:rPr>
        <w:t xml:space="preserve">Po jednorazowym podaniu doustnym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 postaci tabletek zdrowym ochotnikom, maksymalne stężenie </w:t>
      </w:r>
      <w:proofErr w:type="spellStart"/>
      <w:r w:rsidRPr="00BE28C4">
        <w:rPr>
          <w:szCs w:val="22"/>
        </w:rPr>
        <w:t>naltreksonu</w:t>
      </w:r>
      <w:proofErr w:type="spellEnd"/>
      <w:r w:rsidRPr="00BE28C4">
        <w:rPr>
          <w:szCs w:val="22"/>
        </w:rPr>
        <w:t xml:space="preserve"> osiągane było po około 2 godzinach, a </w:t>
      </w:r>
      <w:proofErr w:type="spellStart"/>
      <w:r w:rsidRPr="00BE28C4">
        <w:rPr>
          <w:szCs w:val="22"/>
        </w:rPr>
        <w:t>bupropionu</w:t>
      </w:r>
      <w:proofErr w:type="spellEnd"/>
      <w:r w:rsidRPr="00BE28C4">
        <w:rPr>
          <w:szCs w:val="22"/>
        </w:rPr>
        <w:t xml:space="preserve"> — po około 3 godzinach od podania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Nie stwierdzono żadnych różnic biodostępności (za której miarę przyjęto wartość AUC) </w:t>
      </w:r>
      <w:proofErr w:type="spellStart"/>
      <w:r w:rsidRPr="00BE28C4">
        <w:rPr>
          <w:szCs w:val="22"/>
        </w:rPr>
        <w:t>naltreksonu</w:t>
      </w:r>
      <w:proofErr w:type="spellEnd"/>
      <w:r w:rsidRPr="00BE28C4">
        <w:rPr>
          <w:szCs w:val="22"/>
        </w:rPr>
        <w:t xml:space="preserve"> ani </w:t>
      </w:r>
      <w:proofErr w:type="spellStart"/>
      <w:r w:rsidRPr="00BE28C4">
        <w:rPr>
          <w:szCs w:val="22"/>
        </w:rPr>
        <w:t>bupropionu</w:t>
      </w:r>
      <w:proofErr w:type="spellEnd"/>
      <w:r w:rsidRPr="00BE28C4">
        <w:rPr>
          <w:szCs w:val="22"/>
        </w:rPr>
        <w:t xml:space="preserve"> bez względu na to, czy substancje te podawane były w skojarzeniu, czy każda z nich podawana była osobno. Ze względu jednak na przedłużony charakter uwalniania substancji czynnych ze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wartość </w:t>
      </w:r>
      <w:proofErr w:type="spellStart"/>
      <w:r w:rsidRPr="00BE28C4">
        <w:rPr>
          <w:szCs w:val="22"/>
        </w:rPr>
        <w:t>C</w:t>
      </w:r>
      <w:r w:rsidRPr="00BE28C4">
        <w:rPr>
          <w:szCs w:val="22"/>
          <w:vertAlign w:val="subscript"/>
        </w:rPr>
        <w:t>max</w:t>
      </w:r>
      <w:proofErr w:type="spellEnd"/>
      <w:r w:rsidRPr="00BE28C4">
        <w:rPr>
          <w:szCs w:val="22"/>
        </w:rPr>
        <w:t xml:space="preserve"> </w:t>
      </w:r>
      <w:proofErr w:type="spellStart"/>
      <w:r w:rsidRPr="00BE28C4">
        <w:rPr>
          <w:szCs w:val="22"/>
        </w:rPr>
        <w:t>naltreksonu</w:t>
      </w:r>
      <w:proofErr w:type="spellEnd"/>
      <w:r w:rsidRPr="00BE28C4">
        <w:rPr>
          <w:szCs w:val="22"/>
        </w:rPr>
        <w:t xml:space="preserve"> była znacznie mniejsza niż w przypadku 50 mg chlorowodorku </w:t>
      </w:r>
      <w:proofErr w:type="spellStart"/>
      <w:r w:rsidRPr="00BE28C4">
        <w:rPr>
          <w:szCs w:val="22"/>
        </w:rPr>
        <w:t>naltreksonu</w:t>
      </w:r>
      <w:proofErr w:type="spellEnd"/>
      <w:r w:rsidRPr="00BE28C4">
        <w:rPr>
          <w:szCs w:val="22"/>
        </w:rPr>
        <w:t xml:space="preserve"> w postaci IR podanego w </w:t>
      </w:r>
      <w:proofErr w:type="spellStart"/>
      <w:r w:rsidRPr="00BE28C4">
        <w:rPr>
          <w:szCs w:val="22"/>
        </w:rPr>
        <w:t>monoterapii</w:t>
      </w:r>
      <w:proofErr w:type="spellEnd"/>
      <w:r w:rsidRPr="00BE28C4">
        <w:rPr>
          <w:szCs w:val="22"/>
        </w:rPr>
        <w:t xml:space="preserve"> (około 2 krotna różnica po skorygowaniu danych ze względu na dawkę). </w:t>
      </w:r>
      <w:r w:rsidRPr="00BE28C4">
        <w:rPr>
          <w:rStyle w:val="StyleTimesNewRoman"/>
          <w:sz w:val="22"/>
          <w:szCs w:val="22"/>
        </w:rPr>
        <w:t xml:space="preserve">Wartość </w:t>
      </w:r>
      <w:proofErr w:type="spellStart"/>
      <w:r w:rsidRPr="00BE28C4">
        <w:rPr>
          <w:rStyle w:val="StyleTimesNewRoman"/>
          <w:sz w:val="22"/>
          <w:szCs w:val="22"/>
        </w:rPr>
        <w:t>C</w:t>
      </w:r>
      <w:r w:rsidRPr="00BE28C4">
        <w:rPr>
          <w:rStyle w:val="StyleTimesNewRoman"/>
          <w:sz w:val="22"/>
          <w:szCs w:val="22"/>
          <w:vertAlign w:val="subscript"/>
        </w:rPr>
        <w:t>max</w:t>
      </w:r>
      <w:proofErr w:type="spellEnd"/>
      <w:r w:rsidRPr="00BE28C4">
        <w:rPr>
          <w:rStyle w:val="StyleTimesNewRoman"/>
          <w:sz w:val="22"/>
          <w:szCs w:val="22"/>
        </w:rPr>
        <w:t xml:space="preserve"> </w:t>
      </w:r>
      <w:proofErr w:type="spellStart"/>
      <w:r w:rsidRPr="00BE28C4">
        <w:rPr>
          <w:rStyle w:val="StyleTimesNewRoman"/>
          <w:sz w:val="22"/>
          <w:szCs w:val="22"/>
        </w:rPr>
        <w:t>bupropionu</w:t>
      </w:r>
      <w:proofErr w:type="spellEnd"/>
      <w:r w:rsidRPr="00BE28C4">
        <w:rPr>
          <w:rStyle w:val="StyleTimesNewRoman"/>
          <w:sz w:val="22"/>
          <w:szCs w:val="22"/>
        </w:rPr>
        <w:t xml:space="preserve"> uwalnianego ze skojarzenia</w:t>
      </w:r>
      <w:r w:rsidRPr="00BE28C4">
        <w:rPr>
          <w:szCs w:val="22"/>
        </w:rPr>
        <w:t xml:space="preserv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t>
      </w:r>
      <w:r w:rsidRPr="00BE28C4">
        <w:rPr>
          <w:rStyle w:val="StyleTimesNewRoman"/>
          <w:sz w:val="22"/>
          <w:szCs w:val="22"/>
        </w:rPr>
        <w:t xml:space="preserve">(180 mg </w:t>
      </w:r>
      <w:proofErr w:type="spellStart"/>
      <w:r w:rsidRPr="00BE28C4">
        <w:rPr>
          <w:rStyle w:val="StyleTimesNewRoman"/>
          <w:sz w:val="22"/>
          <w:szCs w:val="22"/>
        </w:rPr>
        <w:t>bupropionu</w:t>
      </w:r>
      <w:proofErr w:type="spellEnd"/>
      <w:r w:rsidRPr="00BE28C4">
        <w:rPr>
          <w:rStyle w:val="StyleTimesNewRoman"/>
          <w:sz w:val="22"/>
          <w:szCs w:val="22"/>
        </w:rPr>
        <w:t xml:space="preserve"> chlorowodorku) była równoważna wartości </w:t>
      </w:r>
      <w:proofErr w:type="spellStart"/>
      <w:r w:rsidRPr="00BE28C4">
        <w:rPr>
          <w:rStyle w:val="StyleTimesNewRoman"/>
          <w:sz w:val="22"/>
          <w:szCs w:val="22"/>
        </w:rPr>
        <w:t>C</w:t>
      </w:r>
      <w:r w:rsidRPr="00BE28C4">
        <w:rPr>
          <w:rStyle w:val="StyleTimesNewRoman"/>
          <w:sz w:val="22"/>
          <w:szCs w:val="22"/>
          <w:vertAlign w:val="subscript"/>
        </w:rPr>
        <w:t>max</w:t>
      </w:r>
      <w:proofErr w:type="spellEnd"/>
      <w:r w:rsidRPr="00BE28C4">
        <w:rPr>
          <w:rStyle w:val="StyleTimesNewRoman"/>
          <w:sz w:val="22"/>
          <w:szCs w:val="22"/>
        </w:rPr>
        <w:t xml:space="preserve"> </w:t>
      </w:r>
      <w:proofErr w:type="spellStart"/>
      <w:r w:rsidRPr="00BE28C4">
        <w:rPr>
          <w:rStyle w:val="StyleTimesNewRoman"/>
          <w:sz w:val="22"/>
          <w:szCs w:val="22"/>
        </w:rPr>
        <w:t>bupropionu</w:t>
      </w:r>
      <w:proofErr w:type="spellEnd"/>
      <w:r w:rsidRPr="00BE28C4">
        <w:rPr>
          <w:rStyle w:val="StyleTimesNewRoman"/>
          <w:sz w:val="22"/>
          <w:szCs w:val="22"/>
        </w:rPr>
        <w:t xml:space="preserve"> uwalnianego z postaci PR (150 mg </w:t>
      </w:r>
      <w:proofErr w:type="spellStart"/>
      <w:r w:rsidRPr="00BE28C4">
        <w:rPr>
          <w:rStyle w:val="StyleTimesNewRoman"/>
          <w:sz w:val="22"/>
          <w:szCs w:val="22"/>
        </w:rPr>
        <w:t>bupropionu</w:t>
      </w:r>
      <w:proofErr w:type="spellEnd"/>
      <w:r w:rsidRPr="00BE28C4">
        <w:rPr>
          <w:rStyle w:val="StyleTimesNewRoman"/>
          <w:sz w:val="22"/>
          <w:szCs w:val="22"/>
        </w:rPr>
        <w:t xml:space="preserve"> chlorowodorku), wskazując, iż wartość </w:t>
      </w:r>
      <w:proofErr w:type="spellStart"/>
      <w:r w:rsidRPr="00BE28C4">
        <w:rPr>
          <w:rStyle w:val="StyleTimesNewRoman"/>
          <w:sz w:val="22"/>
          <w:szCs w:val="22"/>
        </w:rPr>
        <w:t>C</w:t>
      </w:r>
      <w:r w:rsidRPr="00BE28C4">
        <w:rPr>
          <w:rStyle w:val="StyleTimesNewRoman"/>
          <w:sz w:val="22"/>
          <w:szCs w:val="22"/>
          <w:vertAlign w:val="subscript"/>
        </w:rPr>
        <w:t>max</w:t>
      </w:r>
      <w:proofErr w:type="spellEnd"/>
      <w:r w:rsidRPr="00BE28C4">
        <w:rPr>
          <w:rStyle w:val="StyleTimesNewRoman"/>
          <w:sz w:val="22"/>
          <w:szCs w:val="22"/>
        </w:rPr>
        <w:t xml:space="preserve"> </w:t>
      </w:r>
      <w:proofErr w:type="spellStart"/>
      <w:r w:rsidRPr="00BE28C4">
        <w:rPr>
          <w:rStyle w:val="StyleTimesNewRoman"/>
          <w:sz w:val="22"/>
          <w:szCs w:val="22"/>
        </w:rPr>
        <w:t>bupropionu</w:t>
      </w:r>
      <w:proofErr w:type="spellEnd"/>
      <w:r w:rsidRPr="00BE28C4">
        <w:rPr>
          <w:rStyle w:val="StyleTimesNewRoman"/>
          <w:sz w:val="22"/>
          <w:szCs w:val="22"/>
        </w:rPr>
        <w:t xml:space="preserve"> po podaniu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t>
      </w:r>
      <w:r w:rsidRPr="00BE28C4">
        <w:rPr>
          <w:rStyle w:val="StyleTimesNewRoman"/>
          <w:sz w:val="22"/>
          <w:szCs w:val="22"/>
        </w:rPr>
        <w:t xml:space="preserve">(360 mg </w:t>
      </w:r>
      <w:proofErr w:type="spellStart"/>
      <w:r w:rsidRPr="00BE28C4">
        <w:rPr>
          <w:rStyle w:val="StyleTimesNewRoman"/>
          <w:sz w:val="22"/>
          <w:szCs w:val="22"/>
        </w:rPr>
        <w:t>bupropionu</w:t>
      </w:r>
      <w:proofErr w:type="spellEnd"/>
      <w:r w:rsidRPr="00BE28C4">
        <w:rPr>
          <w:rStyle w:val="StyleTimesNewRoman"/>
          <w:sz w:val="22"/>
          <w:szCs w:val="22"/>
        </w:rPr>
        <w:t xml:space="preserve"> chlorowodorku na dobę) jest porównywalna z wartością osiąganą po podaniu komercyjnie dostępnego </w:t>
      </w:r>
      <w:proofErr w:type="spellStart"/>
      <w:r w:rsidRPr="00BE28C4">
        <w:rPr>
          <w:rStyle w:val="StyleTimesNewRoman"/>
          <w:sz w:val="22"/>
          <w:szCs w:val="22"/>
        </w:rPr>
        <w:t>bupropionu</w:t>
      </w:r>
      <w:proofErr w:type="spellEnd"/>
      <w:r w:rsidRPr="00BE28C4">
        <w:rPr>
          <w:rStyle w:val="StyleTimesNewRoman"/>
          <w:sz w:val="22"/>
          <w:szCs w:val="22"/>
        </w:rPr>
        <w:t xml:space="preserve"> w postaci PR (300 mg </w:t>
      </w:r>
      <w:proofErr w:type="spellStart"/>
      <w:r w:rsidRPr="00BE28C4">
        <w:rPr>
          <w:rStyle w:val="StyleTimesNewRoman"/>
          <w:sz w:val="22"/>
          <w:szCs w:val="22"/>
        </w:rPr>
        <w:t>bupropionu</w:t>
      </w:r>
      <w:proofErr w:type="spellEnd"/>
      <w:r w:rsidRPr="00BE28C4">
        <w:rPr>
          <w:rStyle w:val="StyleTimesNewRoman"/>
          <w:sz w:val="22"/>
          <w:szCs w:val="22"/>
        </w:rPr>
        <w:t xml:space="preserve"> chlorowodorku na dobę) stosowanego w </w:t>
      </w:r>
      <w:proofErr w:type="spellStart"/>
      <w:r w:rsidRPr="00BE28C4">
        <w:rPr>
          <w:rStyle w:val="StyleTimesNewRoman"/>
          <w:sz w:val="22"/>
          <w:szCs w:val="22"/>
        </w:rPr>
        <w:t>monoterapii</w:t>
      </w:r>
      <w:proofErr w:type="spellEnd"/>
      <w:r w:rsidRPr="00BE28C4">
        <w:rPr>
          <w:rStyle w:val="StyleTimesNewRoman"/>
          <w:sz w:val="22"/>
          <w:szCs w:val="22"/>
        </w:rPr>
        <w:t>.</w:t>
      </w:r>
    </w:p>
    <w:p w14:paraId="61ECBB77" w14:textId="77777777" w:rsidR="004E3AC5" w:rsidRPr="00BE28C4" w:rsidRDefault="004E3AC5">
      <w:pPr>
        <w:spacing w:line="240" w:lineRule="auto"/>
        <w:rPr>
          <w:bCs/>
          <w:iCs/>
          <w:szCs w:val="22"/>
        </w:rPr>
      </w:pPr>
    </w:p>
    <w:p w14:paraId="51E09E98" w14:textId="77777777" w:rsidR="004E3AC5" w:rsidRPr="00BE28C4" w:rsidRDefault="00907ADD">
      <w:pPr>
        <w:spacing w:line="240" w:lineRule="auto"/>
        <w:rPr>
          <w:bCs/>
          <w:iCs/>
          <w:szCs w:val="22"/>
        </w:rPr>
      </w:pPr>
      <w:proofErr w:type="spellStart"/>
      <w:r w:rsidRPr="00BE28C4">
        <w:rPr>
          <w:szCs w:val="22"/>
        </w:rPr>
        <w:t>Naltrekson</w:t>
      </w:r>
      <w:proofErr w:type="spellEnd"/>
      <w:r w:rsidRPr="00BE28C4">
        <w:rPr>
          <w:szCs w:val="22"/>
        </w:rPr>
        <w:t xml:space="preserve"> i </w:t>
      </w:r>
      <w:proofErr w:type="spellStart"/>
      <w:r w:rsidRPr="00BE28C4">
        <w:rPr>
          <w:szCs w:val="22"/>
        </w:rPr>
        <w:t>bupropion</w:t>
      </w:r>
      <w:proofErr w:type="spellEnd"/>
      <w:r w:rsidRPr="00BE28C4">
        <w:rPr>
          <w:szCs w:val="22"/>
        </w:rPr>
        <w:t xml:space="preserve"> dobrze wchłaniają się z przewodu pokarmowego (&gt;90% podanej dawki ulega wchłonięciu), jednak </w:t>
      </w:r>
      <w:proofErr w:type="spellStart"/>
      <w:r w:rsidRPr="00BE28C4">
        <w:rPr>
          <w:szCs w:val="22"/>
        </w:rPr>
        <w:t>naltrekson</w:t>
      </w:r>
      <w:proofErr w:type="spellEnd"/>
      <w:r w:rsidRPr="00BE28C4">
        <w:rPr>
          <w:szCs w:val="22"/>
        </w:rPr>
        <w:t xml:space="preserve"> ulega silnemu efektowi pierwszego przejścia ograniczającemu jego biodostępność ogólnoustrojową — do krążenia ogólnego dociera bowiem w postaci niezmienionej jedynie 5</w:t>
      </w:r>
      <w:r w:rsidRPr="00BE28C4">
        <w:rPr>
          <w:szCs w:val="22"/>
        </w:rPr>
        <w:noBreakHyphen/>
        <w:t>6% podanej dawki.</w:t>
      </w:r>
    </w:p>
    <w:p w14:paraId="3131094F" w14:textId="77777777" w:rsidR="004E3AC5" w:rsidRPr="00BE28C4" w:rsidRDefault="004E3AC5">
      <w:pPr>
        <w:spacing w:line="240" w:lineRule="auto"/>
        <w:rPr>
          <w:bCs/>
          <w:iCs/>
          <w:szCs w:val="22"/>
        </w:rPr>
      </w:pPr>
    </w:p>
    <w:p w14:paraId="413ED83E" w14:textId="77777777" w:rsidR="004E3AC5" w:rsidRPr="00BE28C4" w:rsidRDefault="00907ADD">
      <w:pPr>
        <w:spacing w:line="240" w:lineRule="auto"/>
        <w:rPr>
          <w:bCs/>
          <w:i/>
          <w:iCs/>
          <w:szCs w:val="22"/>
        </w:rPr>
      </w:pPr>
      <w:r w:rsidRPr="00BE28C4">
        <w:rPr>
          <w:i/>
          <w:szCs w:val="22"/>
        </w:rPr>
        <w:t>Wpływ pokarmu:</w:t>
      </w:r>
    </w:p>
    <w:p w14:paraId="22FA9360" w14:textId="77777777" w:rsidR="004E3AC5" w:rsidRPr="00BE28C4" w:rsidRDefault="00907ADD">
      <w:pPr>
        <w:spacing w:line="240" w:lineRule="auto"/>
        <w:rPr>
          <w:bCs/>
          <w:iCs/>
          <w:szCs w:val="22"/>
        </w:rPr>
      </w:pPr>
      <w:r w:rsidRPr="00BE28C4">
        <w:rPr>
          <w:szCs w:val="22"/>
        </w:rPr>
        <w:t xml:space="preserve">Kiedy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podawano w trakcie posiłku wysokotłuszczowego, stwierdzano w przypadku </w:t>
      </w:r>
      <w:proofErr w:type="spellStart"/>
      <w:r w:rsidRPr="00BE28C4">
        <w:rPr>
          <w:szCs w:val="22"/>
        </w:rPr>
        <w:t>naltreksonu</w:t>
      </w:r>
      <w:proofErr w:type="spellEnd"/>
      <w:r w:rsidRPr="00BE28C4">
        <w:rPr>
          <w:szCs w:val="22"/>
        </w:rPr>
        <w:t xml:space="preserve"> wzrost AUC o 2,1 razy, a </w:t>
      </w:r>
      <w:proofErr w:type="spellStart"/>
      <w:r w:rsidRPr="00BE28C4">
        <w:rPr>
          <w:szCs w:val="22"/>
        </w:rPr>
        <w:t>C</w:t>
      </w:r>
      <w:r w:rsidRPr="00BE28C4">
        <w:rPr>
          <w:szCs w:val="22"/>
          <w:vertAlign w:val="subscript"/>
        </w:rPr>
        <w:t>max</w:t>
      </w:r>
      <w:proofErr w:type="spellEnd"/>
      <w:r w:rsidRPr="00BE28C4">
        <w:rPr>
          <w:szCs w:val="22"/>
        </w:rPr>
        <w:t xml:space="preserve"> o 3,7 razy, a w przypadku </w:t>
      </w:r>
      <w:proofErr w:type="spellStart"/>
      <w:r w:rsidRPr="00BE28C4">
        <w:rPr>
          <w:szCs w:val="22"/>
        </w:rPr>
        <w:t>bupropionu</w:t>
      </w:r>
      <w:proofErr w:type="spellEnd"/>
      <w:r w:rsidRPr="00BE28C4">
        <w:rPr>
          <w:szCs w:val="22"/>
        </w:rPr>
        <w:t xml:space="preserve"> wzrost AUC o 1,4 razy, a </w:t>
      </w:r>
      <w:proofErr w:type="spellStart"/>
      <w:r w:rsidRPr="00BE28C4">
        <w:rPr>
          <w:szCs w:val="22"/>
        </w:rPr>
        <w:t>C</w:t>
      </w:r>
      <w:r w:rsidRPr="00BE28C4">
        <w:rPr>
          <w:szCs w:val="22"/>
          <w:vertAlign w:val="subscript"/>
        </w:rPr>
        <w:t>max</w:t>
      </w:r>
      <w:proofErr w:type="spellEnd"/>
      <w:r w:rsidRPr="00BE28C4">
        <w:rPr>
          <w:szCs w:val="22"/>
        </w:rPr>
        <w:t xml:space="preserve"> o 1,8 razy. W stanie stacjonarnym obecność treści pokarmowej prowadziła w przypadku </w:t>
      </w:r>
      <w:proofErr w:type="spellStart"/>
      <w:r w:rsidRPr="00BE28C4">
        <w:rPr>
          <w:szCs w:val="22"/>
        </w:rPr>
        <w:t>naltreksonu</w:t>
      </w:r>
      <w:proofErr w:type="spellEnd"/>
      <w:r w:rsidRPr="00BE28C4">
        <w:rPr>
          <w:szCs w:val="22"/>
        </w:rPr>
        <w:t xml:space="preserve"> do wzrostu AUC o 1,7 razy, a </w:t>
      </w:r>
      <w:proofErr w:type="spellStart"/>
      <w:r w:rsidRPr="00BE28C4">
        <w:rPr>
          <w:szCs w:val="22"/>
        </w:rPr>
        <w:t>C</w:t>
      </w:r>
      <w:r w:rsidRPr="00BE28C4">
        <w:rPr>
          <w:szCs w:val="22"/>
          <w:vertAlign w:val="subscript"/>
        </w:rPr>
        <w:t>max</w:t>
      </w:r>
      <w:proofErr w:type="spellEnd"/>
      <w:r w:rsidRPr="00BE28C4">
        <w:rPr>
          <w:szCs w:val="22"/>
        </w:rPr>
        <w:t xml:space="preserve"> o 1,9 razy, a w przypadku </w:t>
      </w:r>
      <w:proofErr w:type="spellStart"/>
      <w:r w:rsidRPr="00BE28C4">
        <w:rPr>
          <w:szCs w:val="22"/>
        </w:rPr>
        <w:t>bupropionu</w:t>
      </w:r>
      <w:proofErr w:type="spellEnd"/>
      <w:r w:rsidRPr="00BE28C4">
        <w:rPr>
          <w:szCs w:val="22"/>
        </w:rPr>
        <w:t xml:space="preserve"> do wzrostu AUC o 1,1 razy, a </w:t>
      </w:r>
      <w:proofErr w:type="spellStart"/>
      <w:r w:rsidRPr="00BE28C4">
        <w:rPr>
          <w:szCs w:val="22"/>
        </w:rPr>
        <w:t>C</w:t>
      </w:r>
      <w:r w:rsidRPr="00BE28C4">
        <w:rPr>
          <w:szCs w:val="22"/>
          <w:vertAlign w:val="subscript"/>
        </w:rPr>
        <w:t>max</w:t>
      </w:r>
      <w:proofErr w:type="spellEnd"/>
      <w:r w:rsidRPr="00BE28C4">
        <w:rPr>
          <w:szCs w:val="22"/>
        </w:rPr>
        <w:t xml:space="preserve"> o 1,3 razy. Doświadczenie kliniczne uwzględniające różnorodne warunki stosowania produktu w relacji do pokarmu, wskazuje na zasadność przyjmowania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 postaci tabletek w trakcie posiłku.</w:t>
      </w:r>
    </w:p>
    <w:p w14:paraId="01F47CFB" w14:textId="77777777" w:rsidR="004E3AC5" w:rsidRPr="00BE28C4" w:rsidRDefault="004E3AC5">
      <w:pPr>
        <w:spacing w:line="240" w:lineRule="auto"/>
        <w:rPr>
          <w:bCs/>
          <w:iCs/>
          <w:szCs w:val="22"/>
        </w:rPr>
      </w:pPr>
    </w:p>
    <w:p w14:paraId="1B6B5804" w14:textId="77777777" w:rsidR="004E3AC5" w:rsidRPr="00BE28C4" w:rsidRDefault="00907ADD">
      <w:pPr>
        <w:spacing w:line="240" w:lineRule="auto"/>
        <w:rPr>
          <w:bCs/>
          <w:i/>
          <w:iCs/>
          <w:szCs w:val="22"/>
        </w:rPr>
      </w:pPr>
      <w:r w:rsidRPr="00BE28C4">
        <w:rPr>
          <w:i/>
          <w:szCs w:val="22"/>
        </w:rPr>
        <w:t>Dystrybucja:</w:t>
      </w:r>
    </w:p>
    <w:p w14:paraId="001C5917" w14:textId="77777777" w:rsidR="004E3AC5" w:rsidRPr="00BE28C4" w:rsidRDefault="00907ADD">
      <w:pPr>
        <w:spacing w:line="240" w:lineRule="auto"/>
        <w:rPr>
          <w:bCs/>
          <w:iCs/>
          <w:szCs w:val="22"/>
        </w:rPr>
      </w:pPr>
      <w:r w:rsidRPr="00BE28C4">
        <w:rPr>
          <w:szCs w:val="22"/>
        </w:rPr>
        <w:t xml:space="preserve">Średnia objętość dystrybucji w stanie stacjonarnym </w:t>
      </w:r>
      <w:proofErr w:type="spellStart"/>
      <w:r w:rsidRPr="00BE28C4">
        <w:rPr>
          <w:szCs w:val="22"/>
        </w:rPr>
        <w:t>naltreksonu</w:t>
      </w:r>
      <w:proofErr w:type="spellEnd"/>
      <w:r w:rsidRPr="00BE28C4">
        <w:rPr>
          <w:szCs w:val="22"/>
        </w:rPr>
        <w:t xml:space="preserve"> i </w:t>
      </w:r>
      <w:proofErr w:type="spellStart"/>
      <w:r w:rsidRPr="00BE28C4">
        <w:rPr>
          <w:szCs w:val="22"/>
        </w:rPr>
        <w:t>bupropionu</w:t>
      </w:r>
      <w:proofErr w:type="spellEnd"/>
      <w:r w:rsidRPr="00BE28C4">
        <w:rPr>
          <w:szCs w:val="22"/>
        </w:rPr>
        <w:t xml:space="preserve"> po podaniu doustnym, podanego w skojarzeniu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t>
      </w:r>
      <w:proofErr w:type="spellStart"/>
      <w:r w:rsidRPr="00BE28C4">
        <w:rPr>
          <w:szCs w:val="22"/>
        </w:rPr>
        <w:t>V</w:t>
      </w:r>
      <w:r w:rsidRPr="00BE28C4">
        <w:rPr>
          <w:szCs w:val="22"/>
          <w:vertAlign w:val="subscript"/>
        </w:rPr>
        <w:t>ss</w:t>
      </w:r>
      <w:proofErr w:type="spellEnd"/>
      <w:r w:rsidRPr="00BE28C4">
        <w:rPr>
          <w:szCs w:val="22"/>
        </w:rPr>
        <w:t xml:space="preserve">/F, wynosiła 5697 litrów dla </w:t>
      </w:r>
      <w:proofErr w:type="spellStart"/>
      <w:r w:rsidRPr="00BE28C4">
        <w:rPr>
          <w:szCs w:val="22"/>
        </w:rPr>
        <w:t>naltreksonu</w:t>
      </w:r>
      <w:proofErr w:type="spellEnd"/>
      <w:r w:rsidRPr="00BE28C4">
        <w:rPr>
          <w:szCs w:val="22"/>
        </w:rPr>
        <w:t xml:space="preserve"> i 880 litrów dla </w:t>
      </w:r>
      <w:proofErr w:type="spellStart"/>
      <w:r w:rsidRPr="00BE28C4">
        <w:rPr>
          <w:szCs w:val="22"/>
        </w:rPr>
        <w:t>bupropionu</w:t>
      </w:r>
      <w:proofErr w:type="spellEnd"/>
      <w:r w:rsidRPr="00BE28C4">
        <w:rPr>
          <w:szCs w:val="22"/>
        </w:rPr>
        <w:t xml:space="preserve">. </w:t>
      </w:r>
    </w:p>
    <w:p w14:paraId="5A928459" w14:textId="77777777" w:rsidR="004E3AC5" w:rsidRPr="00BE28C4" w:rsidRDefault="00907ADD">
      <w:pPr>
        <w:spacing w:line="240" w:lineRule="auto"/>
        <w:rPr>
          <w:bCs/>
          <w:iCs/>
          <w:szCs w:val="22"/>
        </w:rPr>
      </w:pPr>
      <w:r w:rsidRPr="00BE28C4">
        <w:rPr>
          <w:szCs w:val="22"/>
        </w:rPr>
        <w:t xml:space="preserve">Stopień wiązania z białkami osocza nie jest duży i wynosi 21% dla </w:t>
      </w:r>
      <w:proofErr w:type="spellStart"/>
      <w:r w:rsidRPr="00BE28C4">
        <w:rPr>
          <w:szCs w:val="22"/>
        </w:rPr>
        <w:t>naltreksonu</w:t>
      </w:r>
      <w:proofErr w:type="spellEnd"/>
      <w:r w:rsidRPr="00BE28C4">
        <w:rPr>
          <w:szCs w:val="22"/>
        </w:rPr>
        <w:t xml:space="preserve"> i 84% dla </w:t>
      </w:r>
      <w:proofErr w:type="spellStart"/>
      <w:r w:rsidRPr="00BE28C4">
        <w:rPr>
          <w:szCs w:val="22"/>
        </w:rPr>
        <w:t>bupropionu</w:t>
      </w:r>
      <w:proofErr w:type="spellEnd"/>
      <w:r w:rsidRPr="00BE28C4">
        <w:rPr>
          <w:szCs w:val="22"/>
        </w:rPr>
        <w:t xml:space="preserve">, wskazując na niski potencjał wchodzenia w interakcje z innymi substancjami czynnymi na zasadzie wypierania z miejsc wiązania. </w:t>
      </w:r>
    </w:p>
    <w:p w14:paraId="41EC1EA1" w14:textId="77777777" w:rsidR="004E3AC5" w:rsidRPr="00BE28C4" w:rsidRDefault="004E3AC5">
      <w:pPr>
        <w:spacing w:line="240" w:lineRule="auto"/>
        <w:rPr>
          <w:bCs/>
          <w:iCs/>
          <w:szCs w:val="22"/>
        </w:rPr>
      </w:pPr>
    </w:p>
    <w:p w14:paraId="1A5FD59D" w14:textId="77777777" w:rsidR="004E3AC5" w:rsidRPr="00BE28C4" w:rsidRDefault="00907ADD">
      <w:pPr>
        <w:keepNext/>
        <w:widowControl w:val="0"/>
        <w:spacing w:line="240" w:lineRule="auto"/>
        <w:rPr>
          <w:bCs/>
          <w:i/>
          <w:iCs/>
          <w:szCs w:val="22"/>
        </w:rPr>
      </w:pPr>
      <w:r w:rsidRPr="00BE28C4">
        <w:rPr>
          <w:i/>
          <w:szCs w:val="22"/>
        </w:rPr>
        <w:t xml:space="preserve">Metabolizm i eliminacja: </w:t>
      </w:r>
    </w:p>
    <w:p w14:paraId="6992BAAE" w14:textId="77777777" w:rsidR="004E3AC5" w:rsidRPr="00BE28C4" w:rsidRDefault="00907ADD">
      <w:pPr>
        <w:keepNext/>
        <w:widowControl w:val="0"/>
        <w:spacing w:line="240" w:lineRule="auto"/>
        <w:rPr>
          <w:bCs/>
          <w:iCs/>
          <w:szCs w:val="22"/>
        </w:rPr>
      </w:pPr>
      <w:r w:rsidRPr="00BE28C4">
        <w:rPr>
          <w:szCs w:val="22"/>
        </w:rPr>
        <w:t xml:space="preserve">Po jednorazowym podaniu doustnym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 postaci tabletek zdrowym ochotnikom, średni okres półtrwania T</w:t>
      </w:r>
      <w:r w:rsidRPr="00BE28C4">
        <w:rPr>
          <w:szCs w:val="22"/>
          <w:vertAlign w:val="subscript"/>
        </w:rPr>
        <w:t xml:space="preserve">½ </w:t>
      </w:r>
      <w:r w:rsidRPr="00BE28C4">
        <w:rPr>
          <w:szCs w:val="22"/>
        </w:rPr>
        <w:t xml:space="preserve">w fazie eliminacji wynosił około 5 godzin dla </w:t>
      </w:r>
      <w:proofErr w:type="spellStart"/>
      <w:r w:rsidRPr="00BE28C4">
        <w:rPr>
          <w:szCs w:val="22"/>
        </w:rPr>
        <w:t>naltreksonu</w:t>
      </w:r>
      <w:proofErr w:type="spellEnd"/>
      <w:r w:rsidRPr="00BE28C4">
        <w:rPr>
          <w:szCs w:val="22"/>
        </w:rPr>
        <w:t xml:space="preserve"> i około 21 godzin dla </w:t>
      </w:r>
      <w:proofErr w:type="spellStart"/>
      <w:r w:rsidRPr="00BE28C4">
        <w:rPr>
          <w:szCs w:val="22"/>
        </w:rPr>
        <w:t>bupropionu</w:t>
      </w:r>
      <w:proofErr w:type="spellEnd"/>
      <w:r w:rsidRPr="00BE28C4">
        <w:rPr>
          <w:szCs w:val="22"/>
        </w:rPr>
        <w:t xml:space="preserve">. </w:t>
      </w:r>
    </w:p>
    <w:p w14:paraId="3D108C76" w14:textId="77777777" w:rsidR="004E3AC5" w:rsidRPr="00BE28C4" w:rsidRDefault="004E3AC5">
      <w:pPr>
        <w:spacing w:line="240" w:lineRule="auto"/>
        <w:rPr>
          <w:bCs/>
          <w:iCs/>
          <w:szCs w:val="22"/>
          <w:u w:val="single"/>
        </w:rPr>
      </w:pPr>
    </w:p>
    <w:p w14:paraId="3EE9703F" w14:textId="77777777" w:rsidR="004E3AC5" w:rsidRPr="00BE28C4" w:rsidRDefault="00907ADD">
      <w:pPr>
        <w:spacing w:line="240" w:lineRule="auto"/>
        <w:rPr>
          <w:bCs/>
          <w:i/>
          <w:iCs/>
          <w:szCs w:val="22"/>
          <w:u w:val="single"/>
        </w:rPr>
      </w:pPr>
      <w:proofErr w:type="spellStart"/>
      <w:r w:rsidRPr="00BE28C4">
        <w:rPr>
          <w:i/>
          <w:szCs w:val="22"/>
          <w:u w:val="single"/>
        </w:rPr>
        <w:lastRenderedPageBreak/>
        <w:t>Naltrekson</w:t>
      </w:r>
      <w:proofErr w:type="spellEnd"/>
    </w:p>
    <w:p w14:paraId="1C83F183" w14:textId="77777777" w:rsidR="004E3AC5" w:rsidRPr="00BE28C4" w:rsidRDefault="00907ADD">
      <w:pPr>
        <w:spacing w:line="240" w:lineRule="auto"/>
        <w:rPr>
          <w:bCs/>
          <w:iCs/>
          <w:szCs w:val="22"/>
        </w:rPr>
      </w:pPr>
      <w:r w:rsidRPr="00BE28C4">
        <w:rPr>
          <w:szCs w:val="22"/>
        </w:rPr>
        <w:t xml:space="preserve">Głównym metabolitem </w:t>
      </w:r>
      <w:proofErr w:type="spellStart"/>
      <w:r w:rsidRPr="00BE28C4">
        <w:rPr>
          <w:szCs w:val="22"/>
        </w:rPr>
        <w:t>naltreksonu</w:t>
      </w:r>
      <w:proofErr w:type="spellEnd"/>
      <w:r w:rsidRPr="00BE28C4">
        <w:rPr>
          <w:szCs w:val="22"/>
        </w:rPr>
        <w:t xml:space="preserve"> jest 6</w:t>
      </w:r>
      <w:r w:rsidRPr="00BE28C4">
        <w:rPr>
          <w:szCs w:val="22"/>
        </w:rPr>
        <w:noBreakHyphen/>
        <w:t>beta</w:t>
      </w:r>
      <w:r w:rsidRPr="00BE28C4">
        <w:rPr>
          <w:szCs w:val="22"/>
        </w:rPr>
        <w:noBreakHyphen/>
        <w:t>naltreksol. Chociaż 6</w:t>
      </w:r>
      <w:r w:rsidRPr="00BE28C4">
        <w:rPr>
          <w:szCs w:val="22"/>
        </w:rPr>
        <w:noBreakHyphen/>
        <w:t>beta</w:t>
      </w:r>
      <w:r w:rsidRPr="00BE28C4">
        <w:rPr>
          <w:szCs w:val="22"/>
        </w:rPr>
        <w:noBreakHyphen/>
        <w:t xml:space="preserve">naltreksol wykazuje słabsze działanie od </w:t>
      </w:r>
      <w:proofErr w:type="spellStart"/>
      <w:r w:rsidRPr="00BE28C4">
        <w:rPr>
          <w:szCs w:val="22"/>
        </w:rPr>
        <w:t>naltreksonu</w:t>
      </w:r>
      <w:proofErr w:type="spellEnd"/>
      <w:r w:rsidRPr="00BE28C4">
        <w:rPr>
          <w:szCs w:val="22"/>
        </w:rPr>
        <w:t>, to jego eliminacja przebiega wolniej, w związku z czym utrzymuje się on</w:t>
      </w:r>
      <w:r w:rsidRPr="00BE28C4">
        <w:rPr>
          <w:szCs w:val="22"/>
        </w:rPr>
        <w:br/>
        <w:t xml:space="preserve">w krążeniu w dużo wyższych stężeniach niż </w:t>
      </w:r>
      <w:proofErr w:type="spellStart"/>
      <w:r w:rsidRPr="00BE28C4">
        <w:rPr>
          <w:szCs w:val="22"/>
        </w:rPr>
        <w:t>naltrekson</w:t>
      </w:r>
      <w:proofErr w:type="spellEnd"/>
      <w:r w:rsidRPr="00BE28C4">
        <w:rPr>
          <w:szCs w:val="22"/>
        </w:rPr>
        <w:t xml:space="preserve">. </w:t>
      </w:r>
      <w:proofErr w:type="spellStart"/>
      <w:r w:rsidRPr="00BE28C4">
        <w:rPr>
          <w:szCs w:val="22"/>
        </w:rPr>
        <w:t>Naltrekson</w:t>
      </w:r>
      <w:proofErr w:type="spellEnd"/>
      <w:r w:rsidRPr="00BE28C4">
        <w:rPr>
          <w:szCs w:val="22"/>
        </w:rPr>
        <w:t xml:space="preserve"> i 6</w:t>
      </w:r>
      <w:r w:rsidRPr="00BE28C4">
        <w:rPr>
          <w:szCs w:val="22"/>
        </w:rPr>
        <w:noBreakHyphen/>
        <w:t>beta</w:t>
      </w:r>
      <w:r w:rsidRPr="00BE28C4">
        <w:rPr>
          <w:szCs w:val="22"/>
        </w:rPr>
        <w:noBreakHyphen/>
        <w:t xml:space="preserve">naltreksol nie są metabolizowane przez izoenzymy cytochromu P450, a badania </w:t>
      </w:r>
      <w:r w:rsidRPr="00BE28C4">
        <w:rPr>
          <w:i/>
          <w:szCs w:val="22"/>
        </w:rPr>
        <w:t>in vitro</w:t>
      </w:r>
      <w:r w:rsidRPr="00BE28C4">
        <w:rPr>
          <w:szCs w:val="22"/>
        </w:rPr>
        <w:t xml:space="preserve"> wskazują, że nie występuje w ich przypadku </w:t>
      </w:r>
      <w:proofErr w:type="gramStart"/>
      <w:r w:rsidRPr="00BE28C4">
        <w:rPr>
          <w:szCs w:val="22"/>
        </w:rPr>
        <w:t>potencjalna możliwość</w:t>
      </w:r>
      <w:proofErr w:type="gramEnd"/>
      <w:r w:rsidRPr="00BE28C4">
        <w:rPr>
          <w:szCs w:val="22"/>
        </w:rPr>
        <w:t xml:space="preserve"> hamowania aktywności czy indukowania ekspresji żadnych ważnych izoenzymów. </w:t>
      </w:r>
      <w:proofErr w:type="spellStart"/>
      <w:r w:rsidRPr="00BE28C4">
        <w:rPr>
          <w:szCs w:val="22"/>
        </w:rPr>
        <w:t>Naltrekson</w:t>
      </w:r>
      <w:proofErr w:type="spellEnd"/>
      <w:r w:rsidRPr="00BE28C4">
        <w:rPr>
          <w:szCs w:val="22"/>
        </w:rPr>
        <w:t xml:space="preserve"> jest metabolizowany głównie do 6</w:t>
      </w:r>
      <w:r w:rsidRPr="00BE28C4">
        <w:rPr>
          <w:szCs w:val="22"/>
        </w:rPr>
        <w:noBreakHyphen/>
        <w:t>beta</w:t>
      </w:r>
      <w:r w:rsidRPr="00BE28C4">
        <w:rPr>
          <w:szCs w:val="22"/>
        </w:rPr>
        <w:noBreakHyphen/>
        <w:t xml:space="preserve">naltreksolu przez dehydrogenazy </w:t>
      </w:r>
      <w:proofErr w:type="spellStart"/>
      <w:r w:rsidRPr="00BE28C4">
        <w:rPr>
          <w:szCs w:val="22"/>
        </w:rPr>
        <w:t>dihydrodiolowe</w:t>
      </w:r>
      <w:proofErr w:type="spellEnd"/>
      <w:r w:rsidRPr="00BE28C4">
        <w:rPr>
          <w:szCs w:val="22"/>
        </w:rPr>
        <w:t xml:space="preserve"> (DD1, DD2 i DD4). Innymi ważnymi szlakami metabolicznymi są te, prowadzące do powstania metabolitów 2</w:t>
      </w:r>
      <w:r w:rsidRPr="00BE28C4">
        <w:rPr>
          <w:szCs w:val="22"/>
        </w:rPr>
        <w:noBreakHyphen/>
        <w:t>hydroksy</w:t>
      </w:r>
      <w:r w:rsidRPr="00BE28C4">
        <w:rPr>
          <w:szCs w:val="22"/>
        </w:rPr>
        <w:noBreakHyphen/>
        <w:t>3</w:t>
      </w:r>
      <w:r w:rsidRPr="00BE28C4">
        <w:rPr>
          <w:szCs w:val="22"/>
        </w:rPr>
        <w:noBreakHyphen/>
        <w:t>O</w:t>
      </w:r>
      <w:r w:rsidRPr="00BE28C4">
        <w:rPr>
          <w:szCs w:val="22"/>
        </w:rPr>
        <w:noBreakHyphen/>
        <w:t>metylonaltreksonu i 2</w:t>
      </w:r>
      <w:r w:rsidRPr="00BE28C4">
        <w:rPr>
          <w:szCs w:val="22"/>
        </w:rPr>
        <w:noBreakHyphen/>
        <w:t>hydroksy</w:t>
      </w:r>
      <w:r w:rsidRPr="00BE28C4">
        <w:rPr>
          <w:szCs w:val="22"/>
        </w:rPr>
        <w:noBreakHyphen/>
        <w:t>3</w:t>
      </w:r>
      <w:r w:rsidRPr="00BE28C4">
        <w:rPr>
          <w:szCs w:val="22"/>
        </w:rPr>
        <w:noBreakHyphen/>
        <w:t>O</w:t>
      </w:r>
      <w:r w:rsidRPr="00BE28C4">
        <w:rPr>
          <w:szCs w:val="22"/>
        </w:rPr>
        <w:noBreakHyphen/>
        <w:t>metylo</w:t>
      </w:r>
      <w:r w:rsidRPr="00BE28C4">
        <w:rPr>
          <w:szCs w:val="22"/>
        </w:rPr>
        <w:noBreakHyphen/>
        <w:t>6</w:t>
      </w:r>
      <w:r w:rsidRPr="00BE28C4">
        <w:rPr>
          <w:szCs w:val="22"/>
        </w:rPr>
        <w:noBreakHyphen/>
        <w:t>beta</w:t>
      </w:r>
      <w:r w:rsidRPr="00BE28C4">
        <w:rPr>
          <w:szCs w:val="22"/>
        </w:rPr>
        <w:noBreakHyphen/>
        <w:t xml:space="preserve">naltreksolu, które powstają, jak się uważa, pod wpływem </w:t>
      </w:r>
      <w:r w:rsidRPr="00BE28C4">
        <w:rPr>
          <w:szCs w:val="22"/>
        </w:rPr>
        <w:noBreakHyphen/>
        <w:t>O</w:t>
      </w:r>
      <w:r w:rsidRPr="00BE28C4">
        <w:rPr>
          <w:szCs w:val="22"/>
        </w:rPr>
        <w:noBreakHyphen/>
      </w:r>
      <w:proofErr w:type="spellStart"/>
      <w:r w:rsidRPr="00BE28C4">
        <w:rPr>
          <w:szCs w:val="22"/>
        </w:rPr>
        <w:t>metylotransferaz</w:t>
      </w:r>
      <w:proofErr w:type="spellEnd"/>
      <w:r w:rsidRPr="00BE28C4">
        <w:rPr>
          <w:szCs w:val="22"/>
        </w:rPr>
        <w:t xml:space="preserve"> </w:t>
      </w:r>
      <w:proofErr w:type="spellStart"/>
      <w:r w:rsidRPr="00BE28C4">
        <w:rPr>
          <w:szCs w:val="22"/>
        </w:rPr>
        <w:t>katecholowych</w:t>
      </w:r>
      <w:proofErr w:type="spellEnd"/>
      <w:r w:rsidRPr="00BE28C4">
        <w:rPr>
          <w:szCs w:val="22"/>
        </w:rPr>
        <w:t xml:space="preserve"> (COMT), oraz </w:t>
      </w:r>
      <w:proofErr w:type="spellStart"/>
      <w:r w:rsidRPr="00BE28C4">
        <w:rPr>
          <w:szCs w:val="22"/>
        </w:rPr>
        <w:t>glukuronidacji</w:t>
      </w:r>
      <w:proofErr w:type="spellEnd"/>
      <w:r w:rsidRPr="00BE28C4">
        <w:rPr>
          <w:szCs w:val="22"/>
        </w:rPr>
        <w:t>, katalizowanej, jak się uważa, przez UGT1A1 i UGT2B7.</w:t>
      </w:r>
    </w:p>
    <w:p w14:paraId="0CD4F327" w14:textId="77777777" w:rsidR="004E3AC5" w:rsidRPr="00BE28C4" w:rsidRDefault="004E3AC5">
      <w:pPr>
        <w:spacing w:line="240" w:lineRule="auto"/>
        <w:rPr>
          <w:bCs/>
          <w:iCs/>
          <w:szCs w:val="22"/>
        </w:rPr>
      </w:pPr>
    </w:p>
    <w:p w14:paraId="6080DA5C" w14:textId="77777777" w:rsidR="004E3AC5" w:rsidRPr="00BE28C4" w:rsidRDefault="00907ADD">
      <w:pPr>
        <w:spacing w:line="240" w:lineRule="auto"/>
        <w:rPr>
          <w:bCs/>
          <w:iCs/>
          <w:szCs w:val="22"/>
        </w:rPr>
      </w:pPr>
      <w:proofErr w:type="spellStart"/>
      <w:r w:rsidRPr="00BE28C4">
        <w:rPr>
          <w:szCs w:val="22"/>
        </w:rPr>
        <w:t>Naltrekson</w:t>
      </w:r>
      <w:proofErr w:type="spellEnd"/>
      <w:r w:rsidRPr="00BE28C4">
        <w:rPr>
          <w:szCs w:val="22"/>
        </w:rPr>
        <w:t xml:space="preserve"> i jego metabolity są wydalane głównie przez nerki (od 37% do 60% podanej dawki). </w:t>
      </w:r>
      <w:r w:rsidRPr="00BE28C4">
        <w:rPr>
          <w:rStyle w:val="StyleTimesNewRoman"/>
          <w:sz w:val="22"/>
          <w:szCs w:val="22"/>
        </w:rPr>
        <w:t xml:space="preserve">Wartość pochodna wydalania nerkowego </w:t>
      </w:r>
      <w:proofErr w:type="spellStart"/>
      <w:r w:rsidRPr="00BE28C4">
        <w:rPr>
          <w:rStyle w:val="StyleTimesNewRoman"/>
          <w:sz w:val="22"/>
          <w:szCs w:val="22"/>
        </w:rPr>
        <w:t>naltreksonu</w:t>
      </w:r>
      <w:proofErr w:type="spellEnd"/>
      <w:r w:rsidRPr="00BE28C4">
        <w:rPr>
          <w:rStyle w:val="StyleTimesNewRoman"/>
          <w:sz w:val="22"/>
          <w:szCs w:val="22"/>
        </w:rPr>
        <w:t xml:space="preserve"> po podaniu doustnym, po uwzględnieniu wiązania z białkami osocza, wynosi 89 ml/min.</w:t>
      </w:r>
      <w:r w:rsidRPr="00BE28C4">
        <w:rPr>
          <w:szCs w:val="22"/>
        </w:rPr>
        <w:t xml:space="preserve"> Enzym odpowiedzialny za główny szlak eliminacji nie jest znany. Wydalanie z kałem odgrywa nieznaczną rolę.</w:t>
      </w:r>
    </w:p>
    <w:p w14:paraId="4A45E84B" w14:textId="77777777" w:rsidR="004E3AC5" w:rsidRPr="00BE28C4" w:rsidRDefault="004E3AC5">
      <w:pPr>
        <w:spacing w:line="240" w:lineRule="auto"/>
        <w:rPr>
          <w:bCs/>
          <w:iCs/>
          <w:szCs w:val="22"/>
          <w:u w:val="single"/>
        </w:rPr>
      </w:pPr>
    </w:p>
    <w:p w14:paraId="76ED5C29" w14:textId="77777777" w:rsidR="004E3AC5" w:rsidRPr="00BE28C4" w:rsidRDefault="00907ADD">
      <w:pPr>
        <w:spacing w:line="240" w:lineRule="auto"/>
        <w:rPr>
          <w:bCs/>
          <w:i/>
          <w:iCs/>
          <w:szCs w:val="22"/>
          <w:u w:val="single"/>
        </w:rPr>
      </w:pPr>
      <w:proofErr w:type="spellStart"/>
      <w:r w:rsidRPr="00BE28C4">
        <w:rPr>
          <w:i/>
          <w:szCs w:val="22"/>
          <w:u w:val="single"/>
        </w:rPr>
        <w:t>Bupropion</w:t>
      </w:r>
      <w:proofErr w:type="spellEnd"/>
    </w:p>
    <w:p w14:paraId="0AF585B6" w14:textId="77777777" w:rsidR="004E3AC5" w:rsidRPr="00BE28C4" w:rsidRDefault="00907ADD">
      <w:pPr>
        <w:spacing w:line="240" w:lineRule="auto"/>
        <w:rPr>
          <w:bCs/>
          <w:iCs/>
          <w:szCs w:val="22"/>
        </w:rPr>
      </w:pPr>
      <w:proofErr w:type="spellStart"/>
      <w:r w:rsidRPr="00BE28C4">
        <w:rPr>
          <w:szCs w:val="22"/>
        </w:rPr>
        <w:t>Bupropion</w:t>
      </w:r>
      <w:proofErr w:type="spellEnd"/>
      <w:r w:rsidRPr="00BE28C4">
        <w:rPr>
          <w:szCs w:val="22"/>
        </w:rPr>
        <w:t xml:space="preserve"> jest w znacznej części metabolizowany do trzech metabolitów farmakologicznie czynnych: </w:t>
      </w:r>
      <w:proofErr w:type="spellStart"/>
      <w:r w:rsidRPr="00BE28C4">
        <w:rPr>
          <w:szCs w:val="22"/>
        </w:rPr>
        <w:t>hydroksybupropionu</w:t>
      </w:r>
      <w:proofErr w:type="spellEnd"/>
      <w:r w:rsidRPr="00BE28C4">
        <w:rPr>
          <w:szCs w:val="22"/>
        </w:rPr>
        <w:t xml:space="preserve">, </w:t>
      </w:r>
      <w:proofErr w:type="spellStart"/>
      <w:r w:rsidRPr="00BE28C4">
        <w:rPr>
          <w:szCs w:val="22"/>
        </w:rPr>
        <w:t>treohydrobupropionu</w:t>
      </w:r>
      <w:proofErr w:type="spellEnd"/>
      <w:r w:rsidRPr="00BE28C4">
        <w:rPr>
          <w:szCs w:val="22"/>
        </w:rPr>
        <w:t xml:space="preserve"> i </w:t>
      </w:r>
      <w:proofErr w:type="spellStart"/>
      <w:r w:rsidRPr="00BE28C4">
        <w:rPr>
          <w:szCs w:val="22"/>
        </w:rPr>
        <w:t>erytrohydrobupropionu</w:t>
      </w:r>
      <w:proofErr w:type="spellEnd"/>
      <w:r w:rsidRPr="00BE28C4">
        <w:rPr>
          <w:szCs w:val="22"/>
        </w:rPr>
        <w:t xml:space="preserve">. Metabolity te cechują się dłuższym okresem półtrwania w fazie eliminacji niż </w:t>
      </w:r>
      <w:proofErr w:type="spellStart"/>
      <w:r w:rsidRPr="00BE28C4">
        <w:rPr>
          <w:szCs w:val="22"/>
        </w:rPr>
        <w:t>bupropion</w:t>
      </w:r>
      <w:proofErr w:type="spellEnd"/>
      <w:r w:rsidRPr="00BE28C4">
        <w:rPr>
          <w:szCs w:val="22"/>
        </w:rPr>
        <w:t xml:space="preserve"> i w większym zakresie ulegają kumulacji. Wyniki badań </w:t>
      </w:r>
      <w:r w:rsidRPr="00BE28C4">
        <w:rPr>
          <w:i/>
          <w:szCs w:val="22"/>
        </w:rPr>
        <w:t>in vitro</w:t>
      </w:r>
      <w:r w:rsidRPr="00BE28C4">
        <w:rPr>
          <w:szCs w:val="22"/>
        </w:rPr>
        <w:t xml:space="preserve"> wskazują, że głównym izoenzymem aktywnym w procesie powstawania </w:t>
      </w:r>
      <w:proofErr w:type="spellStart"/>
      <w:r w:rsidRPr="00BE28C4">
        <w:rPr>
          <w:szCs w:val="22"/>
        </w:rPr>
        <w:t>hydroksybupropionu</w:t>
      </w:r>
      <w:proofErr w:type="spellEnd"/>
      <w:r w:rsidRPr="00BE28C4">
        <w:rPr>
          <w:szCs w:val="22"/>
        </w:rPr>
        <w:t xml:space="preserve"> jest izoenzym CYP2B6, podczas gdy izoenzymy CYP1A2, 2A6, 2C9, 3A4 i 2E1 odgrywają mniejszą rolę. Z kolei powstawaniu </w:t>
      </w:r>
      <w:proofErr w:type="spellStart"/>
      <w:r w:rsidRPr="00BE28C4">
        <w:rPr>
          <w:szCs w:val="22"/>
        </w:rPr>
        <w:t>treohydrobupropionu</w:t>
      </w:r>
      <w:proofErr w:type="spellEnd"/>
      <w:r w:rsidRPr="00BE28C4">
        <w:rPr>
          <w:szCs w:val="22"/>
        </w:rPr>
        <w:t xml:space="preserve">, jak wynika z danych literaturowych, </w:t>
      </w:r>
      <w:proofErr w:type="gramStart"/>
      <w:r w:rsidRPr="00BE28C4">
        <w:rPr>
          <w:szCs w:val="22"/>
        </w:rPr>
        <w:t>pośredniczy dehydrogenaza</w:t>
      </w:r>
      <w:proofErr w:type="gramEnd"/>
      <w:r w:rsidRPr="00BE28C4">
        <w:rPr>
          <w:szCs w:val="22"/>
        </w:rPr>
        <w:t> 11</w:t>
      </w:r>
      <w:r w:rsidRPr="00BE28C4">
        <w:rPr>
          <w:szCs w:val="22"/>
        </w:rPr>
        <w:noBreakHyphen/>
        <w:t>beta</w:t>
      </w:r>
      <w:r w:rsidRPr="00BE28C4">
        <w:rPr>
          <w:szCs w:val="22"/>
        </w:rPr>
        <w:noBreakHyphen/>
        <w:t xml:space="preserve">hydroksysteroidowa typu 1. Szlak metaboliczny odpowiedzialny za generowanie </w:t>
      </w:r>
      <w:proofErr w:type="spellStart"/>
      <w:r w:rsidRPr="00BE28C4">
        <w:rPr>
          <w:szCs w:val="22"/>
        </w:rPr>
        <w:t>erytrohydrobupropionu</w:t>
      </w:r>
      <w:proofErr w:type="spellEnd"/>
      <w:r w:rsidRPr="00BE28C4">
        <w:rPr>
          <w:szCs w:val="22"/>
        </w:rPr>
        <w:t xml:space="preserve"> jest nieznany.</w:t>
      </w:r>
    </w:p>
    <w:p w14:paraId="0817517D" w14:textId="77777777" w:rsidR="004E3AC5" w:rsidRPr="00BE28C4" w:rsidRDefault="004E3AC5">
      <w:pPr>
        <w:spacing w:line="240" w:lineRule="auto"/>
        <w:rPr>
          <w:bCs/>
          <w:iCs/>
          <w:szCs w:val="22"/>
        </w:rPr>
      </w:pPr>
    </w:p>
    <w:p w14:paraId="019DEEFF" w14:textId="77777777" w:rsidR="004E3AC5" w:rsidRPr="00BE28C4" w:rsidRDefault="00907ADD">
      <w:pPr>
        <w:spacing w:line="240" w:lineRule="auto"/>
        <w:rPr>
          <w:bCs/>
          <w:iCs/>
          <w:szCs w:val="22"/>
        </w:rPr>
      </w:pPr>
      <w:proofErr w:type="spellStart"/>
      <w:r w:rsidRPr="00BE28C4">
        <w:rPr>
          <w:szCs w:val="22"/>
        </w:rPr>
        <w:t>Bupropion</w:t>
      </w:r>
      <w:proofErr w:type="spellEnd"/>
      <w:r w:rsidRPr="00BE28C4">
        <w:rPr>
          <w:szCs w:val="22"/>
        </w:rPr>
        <w:t xml:space="preserve"> i jego metabolity hamują aktywność izoenzymu CYP2D6. Stopień wiązania z białkami osocza </w:t>
      </w:r>
      <w:proofErr w:type="spellStart"/>
      <w:r w:rsidRPr="00BE28C4">
        <w:rPr>
          <w:szCs w:val="22"/>
        </w:rPr>
        <w:t>hydroksybupropionu</w:t>
      </w:r>
      <w:proofErr w:type="spellEnd"/>
      <w:r w:rsidRPr="00BE28C4">
        <w:rPr>
          <w:szCs w:val="22"/>
        </w:rPr>
        <w:t xml:space="preserve"> jest podobny do </w:t>
      </w:r>
      <w:proofErr w:type="spellStart"/>
      <w:r w:rsidRPr="00BE28C4">
        <w:rPr>
          <w:szCs w:val="22"/>
        </w:rPr>
        <w:t>bupropionu</w:t>
      </w:r>
      <w:proofErr w:type="spellEnd"/>
      <w:r w:rsidRPr="00BE28C4">
        <w:rPr>
          <w:szCs w:val="22"/>
        </w:rPr>
        <w:t xml:space="preserve"> (84%), natomiast dwa pozostałe metabolity cechują się mniej więcej o połowę mniejszym stopniem wiązania.</w:t>
      </w:r>
    </w:p>
    <w:p w14:paraId="22E66429" w14:textId="77777777" w:rsidR="004E3AC5" w:rsidRPr="00BE28C4" w:rsidRDefault="004E3AC5">
      <w:pPr>
        <w:spacing w:line="240" w:lineRule="auto"/>
        <w:rPr>
          <w:bCs/>
          <w:iCs/>
          <w:szCs w:val="22"/>
        </w:rPr>
      </w:pPr>
    </w:p>
    <w:p w14:paraId="7B9D4339" w14:textId="77777777" w:rsidR="004E3AC5" w:rsidRPr="00BE28C4" w:rsidRDefault="00907ADD">
      <w:pPr>
        <w:spacing w:line="240" w:lineRule="auto"/>
        <w:rPr>
          <w:bCs/>
          <w:iCs/>
          <w:szCs w:val="22"/>
        </w:rPr>
      </w:pPr>
      <w:r w:rsidRPr="00BE28C4">
        <w:rPr>
          <w:szCs w:val="22"/>
        </w:rPr>
        <w:t>Po podaniu doustnym u ludzi 200 mg chlorowodorku </w:t>
      </w:r>
      <w:r w:rsidRPr="00BE28C4">
        <w:rPr>
          <w:vertAlign w:val="superscript"/>
        </w:rPr>
        <w:t>1</w:t>
      </w:r>
      <w:r w:rsidRPr="00BE28C4">
        <w:rPr>
          <w:szCs w:val="22"/>
          <w:vertAlign w:val="superscript"/>
        </w:rPr>
        <w:t>4</w:t>
      </w:r>
      <w:r w:rsidRPr="00BE28C4">
        <w:rPr>
          <w:szCs w:val="22"/>
        </w:rPr>
        <w:t>C</w:t>
      </w:r>
      <w:r w:rsidRPr="00BE28C4">
        <w:rPr>
          <w:szCs w:val="22"/>
        </w:rPr>
        <w:noBreakHyphen/>
        <w:t xml:space="preserve">bupropionu 87% radioaktywnej dawki wykryto w moczu, a 10% — w kale. Frakcja podanej doustnie dawki </w:t>
      </w:r>
      <w:proofErr w:type="spellStart"/>
      <w:r w:rsidRPr="00BE28C4">
        <w:rPr>
          <w:szCs w:val="22"/>
        </w:rPr>
        <w:t>bupropionu</w:t>
      </w:r>
      <w:proofErr w:type="spellEnd"/>
      <w:r w:rsidRPr="00BE28C4">
        <w:rPr>
          <w:szCs w:val="22"/>
        </w:rPr>
        <w:t xml:space="preserve"> wydalonego w postaci niezmienionej wyniosła 0,5%, co jest konsekwencją tego, że znaczna część podanej dawki </w:t>
      </w:r>
      <w:proofErr w:type="spellStart"/>
      <w:r w:rsidRPr="00BE28C4">
        <w:rPr>
          <w:szCs w:val="22"/>
        </w:rPr>
        <w:t>bupropionu</w:t>
      </w:r>
      <w:proofErr w:type="spellEnd"/>
      <w:r w:rsidRPr="00BE28C4">
        <w:rPr>
          <w:szCs w:val="22"/>
        </w:rPr>
        <w:t xml:space="preserve"> ulega metabolizmowi.</w:t>
      </w:r>
    </w:p>
    <w:p w14:paraId="5B28CE3D" w14:textId="77777777" w:rsidR="004E3AC5" w:rsidRPr="00BE28C4" w:rsidRDefault="004E3AC5">
      <w:pPr>
        <w:spacing w:line="240" w:lineRule="auto"/>
        <w:rPr>
          <w:bCs/>
          <w:iCs/>
          <w:szCs w:val="22"/>
        </w:rPr>
      </w:pPr>
    </w:p>
    <w:p w14:paraId="477CEB60" w14:textId="77777777" w:rsidR="004E3AC5" w:rsidRPr="00BE28C4" w:rsidRDefault="00907ADD">
      <w:pPr>
        <w:spacing w:line="240" w:lineRule="auto"/>
        <w:rPr>
          <w:bCs/>
          <w:i/>
          <w:iCs/>
          <w:szCs w:val="22"/>
        </w:rPr>
      </w:pPr>
      <w:r w:rsidRPr="00BE28C4">
        <w:rPr>
          <w:i/>
          <w:szCs w:val="22"/>
        </w:rPr>
        <w:t xml:space="preserve">Kumulacja: </w:t>
      </w:r>
    </w:p>
    <w:p w14:paraId="1E5EAD53" w14:textId="77777777" w:rsidR="004E3AC5" w:rsidRPr="00BE28C4" w:rsidRDefault="00907ADD">
      <w:pPr>
        <w:spacing w:line="240" w:lineRule="auto"/>
        <w:rPr>
          <w:bCs/>
          <w:iCs/>
          <w:szCs w:val="22"/>
        </w:rPr>
      </w:pPr>
      <w:r w:rsidRPr="00BE28C4">
        <w:rPr>
          <w:szCs w:val="22"/>
        </w:rPr>
        <w:t xml:space="preserve">Przy podawaniu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dwa razy na dobę, </w:t>
      </w:r>
      <w:proofErr w:type="spellStart"/>
      <w:r w:rsidRPr="00BE28C4">
        <w:rPr>
          <w:szCs w:val="22"/>
        </w:rPr>
        <w:t>naltrekson</w:t>
      </w:r>
      <w:proofErr w:type="spellEnd"/>
      <w:r w:rsidRPr="00BE28C4">
        <w:rPr>
          <w:szCs w:val="22"/>
        </w:rPr>
        <w:t xml:space="preserve"> nie ulega kumulacji, natomiast 6-beta-naltreksol ulega kumulacji z upływem czasu. Opierając się na okresie półtrwania 6</w:t>
      </w:r>
      <w:r w:rsidRPr="00BE28C4">
        <w:rPr>
          <w:szCs w:val="22"/>
        </w:rPr>
        <w:noBreakHyphen/>
        <w:t xml:space="preserve">beta-naltreksolu można oszacować, że jego stężenie osiąga stan stacjonarny w ciągu około 3 dni. Metabolity </w:t>
      </w:r>
      <w:proofErr w:type="spellStart"/>
      <w:r w:rsidRPr="00BE28C4">
        <w:rPr>
          <w:szCs w:val="22"/>
        </w:rPr>
        <w:t>bupropionu</w:t>
      </w:r>
      <w:proofErr w:type="spellEnd"/>
      <w:r w:rsidRPr="00BE28C4">
        <w:rPr>
          <w:szCs w:val="22"/>
        </w:rPr>
        <w:t xml:space="preserve"> (oraz w mniejszym stopniu niezmetabolizowany </w:t>
      </w:r>
      <w:proofErr w:type="spellStart"/>
      <w:r w:rsidRPr="00BE28C4">
        <w:rPr>
          <w:szCs w:val="22"/>
        </w:rPr>
        <w:t>bupropion</w:t>
      </w:r>
      <w:proofErr w:type="spellEnd"/>
      <w:r w:rsidRPr="00BE28C4">
        <w:rPr>
          <w:szCs w:val="22"/>
        </w:rPr>
        <w:t xml:space="preserve">) ulegają kumulacji, a ich stężenia osiągają stan stacjonarny w ciągu około tygodnia. Nie przeprowadzono żadnego badania porównującego pod względem AUC lub </w:t>
      </w:r>
      <w:proofErr w:type="spellStart"/>
      <w:r w:rsidRPr="00BE28C4">
        <w:rPr>
          <w:szCs w:val="22"/>
        </w:rPr>
        <w:t>C</w:t>
      </w:r>
      <w:r w:rsidRPr="00BE28C4">
        <w:rPr>
          <w:szCs w:val="22"/>
          <w:vertAlign w:val="subscript"/>
        </w:rPr>
        <w:t>max</w:t>
      </w:r>
      <w:proofErr w:type="spellEnd"/>
      <w:r w:rsidRPr="00BE28C4">
        <w:rPr>
          <w:szCs w:val="22"/>
        </w:rPr>
        <w:t xml:space="preserve">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 postaci tabletek o przedłużonym uwalnianiu (PR) z </w:t>
      </w:r>
      <w:proofErr w:type="spellStart"/>
      <w:r w:rsidRPr="00BE28C4">
        <w:rPr>
          <w:szCs w:val="22"/>
        </w:rPr>
        <w:t>bupropionem</w:t>
      </w:r>
      <w:proofErr w:type="spellEnd"/>
      <w:r w:rsidRPr="00BE28C4">
        <w:rPr>
          <w:szCs w:val="22"/>
        </w:rPr>
        <w:t xml:space="preserve"> PR lub </w:t>
      </w:r>
      <w:proofErr w:type="spellStart"/>
      <w:r w:rsidRPr="00BE28C4">
        <w:rPr>
          <w:szCs w:val="22"/>
        </w:rPr>
        <w:t>naltreksonem</w:t>
      </w:r>
      <w:proofErr w:type="spellEnd"/>
      <w:r w:rsidRPr="00BE28C4">
        <w:rPr>
          <w:szCs w:val="22"/>
        </w:rPr>
        <w:t xml:space="preserve"> IR podawanymi w </w:t>
      </w:r>
      <w:proofErr w:type="spellStart"/>
      <w:r w:rsidRPr="00BE28C4">
        <w:rPr>
          <w:szCs w:val="22"/>
        </w:rPr>
        <w:t>monoterapii</w:t>
      </w:r>
      <w:proofErr w:type="spellEnd"/>
      <w:r w:rsidRPr="00BE28C4">
        <w:rPr>
          <w:szCs w:val="22"/>
        </w:rPr>
        <w:t xml:space="preserve"> w dawkach wielokrotnych (tzn. w warunkach stanu stacjonarnego).</w:t>
      </w:r>
    </w:p>
    <w:p w14:paraId="312C0EC3" w14:textId="77777777" w:rsidR="004E3AC5" w:rsidRPr="00BE28C4" w:rsidRDefault="004E3AC5">
      <w:pPr>
        <w:spacing w:line="240" w:lineRule="auto"/>
        <w:rPr>
          <w:szCs w:val="22"/>
          <w:u w:val="single"/>
        </w:rPr>
      </w:pPr>
    </w:p>
    <w:p w14:paraId="023F1EDE" w14:textId="77777777" w:rsidR="004E3AC5" w:rsidRPr="00BE28C4" w:rsidRDefault="00907ADD">
      <w:pPr>
        <w:spacing w:line="240" w:lineRule="auto"/>
        <w:rPr>
          <w:bCs/>
          <w:iCs/>
          <w:szCs w:val="22"/>
          <w:u w:val="single"/>
        </w:rPr>
      </w:pPr>
      <w:r w:rsidRPr="00BE28C4">
        <w:rPr>
          <w:szCs w:val="22"/>
          <w:u w:val="single"/>
        </w:rPr>
        <w:t xml:space="preserve">Szczególne populacje pacjentów </w:t>
      </w:r>
    </w:p>
    <w:p w14:paraId="4A8FDDD3" w14:textId="77777777" w:rsidR="004E3AC5" w:rsidRPr="00BE28C4" w:rsidRDefault="004E3AC5">
      <w:pPr>
        <w:spacing w:line="240" w:lineRule="auto"/>
        <w:rPr>
          <w:bCs/>
          <w:iCs/>
          <w:szCs w:val="22"/>
        </w:rPr>
      </w:pPr>
    </w:p>
    <w:p w14:paraId="0C3DC3D2" w14:textId="77777777" w:rsidR="004E3AC5" w:rsidRPr="00BE28C4" w:rsidRDefault="00907ADD">
      <w:pPr>
        <w:spacing w:line="240" w:lineRule="auto"/>
        <w:rPr>
          <w:bCs/>
          <w:iCs/>
          <w:szCs w:val="22"/>
        </w:rPr>
      </w:pPr>
      <w:r w:rsidRPr="00BE28C4">
        <w:rPr>
          <w:i/>
          <w:szCs w:val="22"/>
        </w:rPr>
        <w:t>Płeć i rasa:</w:t>
      </w:r>
      <w:r w:rsidRPr="00BE28C4">
        <w:rPr>
          <w:szCs w:val="22"/>
        </w:rPr>
        <w:t xml:space="preserve"> Analiza zbiorcza danych na temat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nie ujawniła żadnych znaczących różnic w parametrach farmakokinetycznych </w:t>
      </w:r>
      <w:proofErr w:type="spellStart"/>
      <w:r w:rsidRPr="00BE28C4">
        <w:rPr>
          <w:szCs w:val="22"/>
        </w:rPr>
        <w:t>bupropionu</w:t>
      </w:r>
      <w:proofErr w:type="spellEnd"/>
      <w:r w:rsidRPr="00BE28C4">
        <w:rPr>
          <w:szCs w:val="22"/>
        </w:rPr>
        <w:t xml:space="preserve"> lub </w:t>
      </w:r>
      <w:proofErr w:type="spellStart"/>
      <w:r w:rsidRPr="00BE28C4">
        <w:rPr>
          <w:szCs w:val="22"/>
        </w:rPr>
        <w:t>naltreksonu</w:t>
      </w:r>
      <w:proofErr w:type="spellEnd"/>
      <w:r w:rsidRPr="00BE28C4">
        <w:rPr>
          <w:szCs w:val="22"/>
        </w:rPr>
        <w:t xml:space="preserve"> w zależności od płci czy rasy. Należy jednak zaznaczyć, że jedynie pacjenci rasy białej i czarnej byli badani w znaczącym zakresie. Nie ma konieczności dostosowywania dawki ze względu na płeć czy rasę.</w:t>
      </w:r>
    </w:p>
    <w:p w14:paraId="388E0371" w14:textId="77777777" w:rsidR="004E3AC5" w:rsidRPr="00BE28C4" w:rsidRDefault="004E3AC5">
      <w:pPr>
        <w:spacing w:line="240" w:lineRule="auto"/>
        <w:rPr>
          <w:bCs/>
          <w:iCs/>
          <w:szCs w:val="22"/>
        </w:rPr>
      </w:pPr>
    </w:p>
    <w:p w14:paraId="3B26C9B6" w14:textId="77777777" w:rsidR="004E3AC5" w:rsidRPr="00BE28C4" w:rsidRDefault="00907ADD">
      <w:pPr>
        <w:spacing w:line="240" w:lineRule="auto"/>
        <w:rPr>
          <w:szCs w:val="22"/>
        </w:rPr>
      </w:pPr>
      <w:r w:rsidRPr="00BE28C4">
        <w:rPr>
          <w:i/>
          <w:szCs w:val="22"/>
        </w:rPr>
        <w:lastRenderedPageBreak/>
        <w:t>Osoby w podeszłym wieku</w:t>
      </w:r>
      <w:r w:rsidRPr="00BE28C4">
        <w:rPr>
          <w:szCs w:val="22"/>
        </w:rPr>
        <w:t xml:space="preserve">: Farmakokinetyka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nie była badana w populacji osób w podeszłym wieku. Ponieważ metabolity </w:t>
      </w:r>
      <w:proofErr w:type="spellStart"/>
      <w:r w:rsidRPr="00BE28C4">
        <w:rPr>
          <w:szCs w:val="22"/>
        </w:rPr>
        <w:t>naltreksonu</w:t>
      </w:r>
      <w:proofErr w:type="spellEnd"/>
      <w:r w:rsidRPr="00BE28C4">
        <w:rPr>
          <w:szCs w:val="22"/>
        </w:rPr>
        <w:t xml:space="preserve"> i </w:t>
      </w:r>
      <w:proofErr w:type="spellStart"/>
      <w:r w:rsidRPr="00BE28C4">
        <w:rPr>
          <w:szCs w:val="22"/>
        </w:rPr>
        <w:t>bupropionu</w:t>
      </w:r>
      <w:proofErr w:type="spellEnd"/>
      <w:r w:rsidRPr="00BE28C4">
        <w:rPr>
          <w:szCs w:val="22"/>
        </w:rPr>
        <w:t xml:space="preserve"> wydalane są głównie z moczem, a u osób w podeszłym wieku istnieje większe prawdopodobieństwo występowania zaburzonej czynności nerek, należy w związku z tym rozważnie dobierać dawkę, </w:t>
      </w:r>
      <w:r w:rsidRPr="00BE28C4">
        <w:rPr>
          <w:szCs w:val="22"/>
        </w:rPr>
        <w:br/>
        <w:t xml:space="preserve">korzystne może też być monitorowanie czynności nerek. Stosowanie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u pacjentów w wieku powyżej 75 lat jest niezalecane.</w:t>
      </w:r>
    </w:p>
    <w:p w14:paraId="5A1525C7" w14:textId="77777777" w:rsidR="004E3AC5" w:rsidRPr="00BE28C4" w:rsidRDefault="004E3AC5">
      <w:pPr>
        <w:spacing w:line="240" w:lineRule="auto"/>
        <w:rPr>
          <w:szCs w:val="22"/>
        </w:rPr>
      </w:pPr>
    </w:p>
    <w:p w14:paraId="78573B40" w14:textId="77777777" w:rsidR="004E3AC5" w:rsidRPr="00BE28C4" w:rsidRDefault="00907ADD">
      <w:pPr>
        <w:spacing w:line="240" w:lineRule="auto"/>
        <w:rPr>
          <w:szCs w:val="22"/>
        </w:rPr>
      </w:pPr>
      <w:r w:rsidRPr="00BE28C4">
        <w:rPr>
          <w:i/>
          <w:szCs w:val="22"/>
        </w:rPr>
        <w:t>Palacze tytoniu:</w:t>
      </w:r>
      <w:r w:rsidRPr="00BE28C4">
        <w:rPr>
          <w:szCs w:val="22"/>
        </w:rPr>
        <w:t xml:space="preserve"> Analiza zbiorcza danych dotyczących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nie ujawniła żadnych znaczących różnic w stężeniu </w:t>
      </w:r>
      <w:proofErr w:type="spellStart"/>
      <w:r w:rsidRPr="00BE28C4">
        <w:rPr>
          <w:szCs w:val="22"/>
        </w:rPr>
        <w:t>naltreksonu</w:t>
      </w:r>
      <w:proofErr w:type="spellEnd"/>
      <w:r w:rsidRPr="00BE28C4">
        <w:rPr>
          <w:szCs w:val="22"/>
        </w:rPr>
        <w:t xml:space="preserve"> lub </w:t>
      </w:r>
      <w:proofErr w:type="spellStart"/>
      <w:r w:rsidRPr="00BE28C4">
        <w:rPr>
          <w:szCs w:val="22"/>
        </w:rPr>
        <w:t>bupropionu</w:t>
      </w:r>
      <w:proofErr w:type="spellEnd"/>
      <w:r w:rsidRPr="00BE28C4">
        <w:rPr>
          <w:szCs w:val="22"/>
        </w:rPr>
        <w:t xml:space="preserve"> w osoczu u osób palących tytoń, w porównaniu do osób </w:t>
      </w:r>
      <w:proofErr w:type="spellStart"/>
      <w:r w:rsidRPr="00BE28C4">
        <w:rPr>
          <w:szCs w:val="22"/>
        </w:rPr>
        <w:t>niepalącyvh</w:t>
      </w:r>
      <w:proofErr w:type="spellEnd"/>
      <w:r w:rsidRPr="00BE28C4">
        <w:rPr>
          <w:szCs w:val="22"/>
        </w:rPr>
        <w:t xml:space="preserve">. Wpływ palenia papierosów na farmakokinetykę </w:t>
      </w:r>
      <w:proofErr w:type="spellStart"/>
      <w:r w:rsidRPr="00BE28C4">
        <w:rPr>
          <w:szCs w:val="22"/>
        </w:rPr>
        <w:t>bupropionu</w:t>
      </w:r>
      <w:proofErr w:type="spellEnd"/>
      <w:r w:rsidRPr="00BE28C4">
        <w:rPr>
          <w:szCs w:val="22"/>
        </w:rPr>
        <w:t xml:space="preserve"> badano u 34 zdrowych ochotników obu płci, przy czym 17 z nich długotrwale paliło papierosy, a pozostałych 17 nie paliło w ogóle. Po podaniu doustnym chlorowodorku </w:t>
      </w:r>
      <w:proofErr w:type="spellStart"/>
      <w:r w:rsidRPr="00BE28C4">
        <w:rPr>
          <w:szCs w:val="22"/>
        </w:rPr>
        <w:t>bupropionu</w:t>
      </w:r>
      <w:proofErr w:type="spellEnd"/>
      <w:r w:rsidRPr="00BE28C4">
        <w:rPr>
          <w:szCs w:val="22"/>
        </w:rPr>
        <w:t xml:space="preserve"> w dawce jednorazowej 150 mg nie odnotowano żadnych statystycznie znamiennych różnic między palaczami a osobami niepalącymi w zakresie </w:t>
      </w:r>
      <w:proofErr w:type="spellStart"/>
      <w:r w:rsidRPr="00BE28C4">
        <w:rPr>
          <w:szCs w:val="22"/>
        </w:rPr>
        <w:t>C</w:t>
      </w:r>
      <w:r w:rsidRPr="00BE28C4">
        <w:rPr>
          <w:szCs w:val="22"/>
          <w:vertAlign w:val="subscript"/>
        </w:rPr>
        <w:t>max</w:t>
      </w:r>
      <w:proofErr w:type="spellEnd"/>
      <w:r w:rsidRPr="00BE28C4">
        <w:rPr>
          <w:szCs w:val="22"/>
        </w:rPr>
        <w:t xml:space="preserve">, okresu półtrwania, </w:t>
      </w:r>
      <w:proofErr w:type="spellStart"/>
      <w:r w:rsidRPr="00BE28C4">
        <w:rPr>
          <w:szCs w:val="22"/>
        </w:rPr>
        <w:t>T</w:t>
      </w:r>
      <w:r w:rsidRPr="00BE28C4">
        <w:rPr>
          <w:i/>
          <w:szCs w:val="22"/>
          <w:vertAlign w:val="subscript"/>
        </w:rPr>
        <w:t>max</w:t>
      </w:r>
      <w:proofErr w:type="spellEnd"/>
      <w:r w:rsidRPr="00BE28C4">
        <w:rPr>
          <w:szCs w:val="22"/>
        </w:rPr>
        <w:t xml:space="preserve">, AUC czy </w:t>
      </w:r>
      <w:proofErr w:type="spellStart"/>
      <w:r w:rsidRPr="00BE28C4">
        <w:rPr>
          <w:szCs w:val="22"/>
        </w:rPr>
        <w:t>klirensu</w:t>
      </w:r>
      <w:proofErr w:type="spellEnd"/>
      <w:r w:rsidRPr="00BE28C4">
        <w:rPr>
          <w:szCs w:val="22"/>
        </w:rPr>
        <w:t xml:space="preserve"> </w:t>
      </w:r>
      <w:proofErr w:type="spellStart"/>
      <w:r w:rsidRPr="00BE28C4">
        <w:rPr>
          <w:szCs w:val="22"/>
        </w:rPr>
        <w:t>bupropionu</w:t>
      </w:r>
      <w:proofErr w:type="spellEnd"/>
      <w:r w:rsidRPr="00BE28C4">
        <w:rPr>
          <w:szCs w:val="22"/>
        </w:rPr>
        <w:t xml:space="preserve"> lub jego farmakologicznie czynnych metabolitów.</w:t>
      </w:r>
    </w:p>
    <w:p w14:paraId="4588FF09" w14:textId="77777777" w:rsidR="004E3AC5" w:rsidRPr="00BE28C4" w:rsidRDefault="004E3AC5">
      <w:pPr>
        <w:spacing w:line="240" w:lineRule="auto"/>
        <w:rPr>
          <w:bCs/>
          <w:iCs/>
          <w:szCs w:val="22"/>
        </w:rPr>
      </w:pPr>
    </w:p>
    <w:p w14:paraId="33ACCE9E" w14:textId="77777777" w:rsidR="004E3AC5" w:rsidRPr="00BE28C4" w:rsidRDefault="00907ADD">
      <w:pPr>
        <w:spacing w:line="240" w:lineRule="auto"/>
        <w:rPr>
          <w:szCs w:val="22"/>
        </w:rPr>
      </w:pPr>
      <w:r w:rsidRPr="00BE28C4">
        <w:rPr>
          <w:i/>
          <w:szCs w:val="22"/>
        </w:rPr>
        <w:t>Zaburzenia czynności wątroby:</w:t>
      </w:r>
      <w:r w:rsidRPr="00BE28C4">
        <w:rPr>
          <w:szCs w:val="22"/>
        </w:rPr>
        <w:t xml:space="preserve">  Przeprowadzono badanie farmakokinetyczne przy zastosowaniu pojedynczej dawki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u pacjentów z zaburzeniami czynności nerek </w:t>
      </w:r>
      <w:r w:rsidRPr="00BE28C4">
        <w:rPr>
          <w:lang w:val="pl"/>
        </w:rPr>
        <w:t xml:space="preserve">Wyniki tego badania wykazały, że u pacjentów z lekkimi zaburzeniami czynności wątroby (wyniki w skali </w:t>
      </w:r>
      <w:proofErr w:type="spellStart"/>
      <w:r w:rsidRPr="00BE28C4">
        <w:rPr>
          <w:lang w:val="pl"/>
        </w:rPr>
        <w:t>Childa-Pugha</w:t>
      </w:r>
      <w:proofErr w:type="spellEnd"/>
      <w:r w:rsidRPr="00BE28C4">
        <w:rPr>
          <w:lang w:val="pl"/>
        </w:rPr>
        <w:t xml:space="preserve"> wynoszące 5-6 [klasa A]) wystąpił niewielki wzrost stężenia </w:t>
      </w:r>
      <w:proofErr w:type="spellStart"/>
      <w:r w:rsidRPr="00BE28C4">
        <w:rPr>
          <w:lang w:val="pl"/>
        </w:rPr>
        <w:t>naltreksonu</w:t>
      </w:r>
      <w:proofErr w:type="spellEnd"/>
      <w:r w:rsidRPr="00BE28C4">
        <w:rPr>
          <w:lang w:val="pl"/>
        </w:rPr>
        <w:t xml:space="preserve">, jednak stężenia </w:t>
      </w:r>
      <w:proofErr w:type="spellStart"/>
      <w:r w:rsidRPr="00BE28C4">
        <w:rPr>
          <w:lang w:val="pl"/>
        </w:rPr>
        <w:t>bupropionu</w:t>
      </w:r>
      <w:proofErr w:type="spellEnd"/>
      <w:r w:rsidRPr="00BE28C4">
        <w:rPr>
          <w:lang w:val="pl"/>
        </w:rPr>
        <w:t xml:space="preserve"> i większości innych metabolitów były w </w:t>
      </w:r>
      <w:proofErr w:type="spellStart"/>
      <w:r w:rsidRPr="00BE28C4">
        <w:rPr>
          <w:lang w:val="pl"/>
        </w:rPr>
        <w:t>wiekszości</w:t>
      </w:r>
      <w:proofErr w:type="spellEnd"/>
      <w:r w:rsidRPr="00BE28C4">
        <w:rPr>
          <w:lang w:val="pl"/>
        </w:rPr>
        <w:t xml:space="preserve"> przypadków porównywalne i nie przekraczały dwukrotności stężeń występujących u pacjentów z prawidłową czynnością wątroby. U pacjentów z umiarkowanymi (wyniki w skali </w:t>
      </w:r>
      <w:proofErr w:type="spellStart"/>
      <w:r w:rsidRPr="00BE28C4">
        <w:rPr>
          <w:lang w:val="pl"/>
        </w:rPr>
        <w:t>Childa-Pugha</w:t>
      </w:r>
      <w:proofErr w:type="spellEnd"/>
      <w:r w:rsidRPr="00BE28C4">
        <w:rPr>
          <w:lang w:val="pl"/>
        </w:rPr>
        <w:t xml:space="preserve"> wynoszące 7-9 [klasa B]) lub ciężkimi (wyniki w skali </w:t>
      </w:r>
      <w:proofErr w:type="spellStart"/>
      <w:r w:rsidRPr="00BE28C4">
        <w:rPr>
          <w:lang w:val="pl"/>
        </w:rPr>
        <w:t>Childa-Pugha</w:t>
      </w:r>
      <w:proofErr w:type="spellEnd"/>
      <w:r w:rsidRPr="00BE28C4">
        <w:rPr>
          <w:lang w:val="pl"/>
        </w:rPr>
        <w:t xml:space="preserve"> wynoszące 10 lub więcej [klasa C]) zaburzeniami czynności wątroby obserwowano ok. 6-krotne i 30-krotne zwiększenie maksymalnego stężenia </w:t>
      </w:r>
      <w:proofErr w:type="spellStart"/>
      <w:r w:rsidRPr="00BE28C4">
        <w:rPr>
          <w:lang w:val="pl"/>
        </w:rPr>
        <w:t>naltreksonu</w:t>
      </w:r>
      <w:proofErr w:type="spellEnd"/>
      <w:r w:rsidRPr="00BE28C4">
        <w:rPr>
          <w:lang w:val="pl"/>
        </w:rPr>
        <w:t xml:space="preserve"> odpowiednio u pacjentów z umiarkowanymi i ciężkimi zaburzeniami, podczas gdy wzrost </w:t>
      </w:r>
      <w:proofErr w:type="spellStart"/>
      <w:r w:rsidRPr="00BE28C4">
        <w:rPr>
          <w:lang w:val="pl"/>
        </w:rPr>
        <w:t>bupropionu</w:t>
      </w:r>
      <w:proofErr w:type="spellEnd"/>
      <w:r w:rsidRPr="00BE28C4">
        <w:rPr>
          <w:lang w:val="pl"/>
        </w:rPr>
        <w:t xml:space="preserve"> był ok. 2-krotny dla obu grup. Obserwowano około 2- i 4-krotny wzrost dla obszaru pod krzywą dla </w:t>
      </w:r>
      <w:proofErr w:type="spellStart"/>
      <w:r w:rsidRPr="00BE28C4">
        <w:rPr>
          <w:lang w:val="pl"/>
        </w:rPr>
        <w:t>bupropionu</w:t>
      </w:r>
      <w:proofErr w:type="spellEnd"/>
      <w:r w:rsidRPr="00BE28C4">
        <w:rPr>
          <w:lang w:val="pl"/>
        </w:rPr>
        <w:t xml:space="preserve"> </w:t>
      </w:r>
      <w:proofErr w:type="spellStart"/>
      <w:r w:rsidRPr="00BE28C4">
        <w:rPr>
          <w:lang w:val="pl"/>
        </w:rPr>
        <w:t>odpowiedniu</w:t>
      </w:r>
      <w:proofErr w:type="spellEnd"/>
      <w:r w:rsidRPr="00BE28C4">
        <w:rPr>
          <w:lang w:val="pl"/>
        </w:rPr>
        <w:t xml:space="preserve"> u pacjentów z umiarkowanymi i ciężkimi zaburzeniami. Nie występowały spójne zmiany w metabolitach </w:t>
      </w:r>
      <w:proofErr w:type="spellStart"/>
      <w:r w:rsidRPr="00BE28C4">
        <w:rPr>
          <w:lang w:val="pl"/>
        </w:rPr>
        <w:t>naltreksonu</w:t>
      </w:r>
      <w:proofErr w:type="spellEnd"/>
      <w:r w:rsidRPr="00BE28C4">
        <w:rPr>
          <w:lang w:val="pl"/>
        </w:rPr>
        <w:t xml:space="preserve"> lub </w:t>
      </w:r>
      <w:proofErr w:type="spellStart"/>
      <w:r w:rsidRPr="00BE28C4">
        <w:rPr>
          <w:lang w:val="pl"/>
        </w:rPr>
        <w:t>bupropionu</w:t>
      </w:r>
      <w:proofErr w:type="spellEnd"/>
      <w:r w:rsidRPr="00BE28C4">
        <w:rPr>
          <w:lang w:val="pl"/>
        </w:rPr>
        <w:t xml:space="preserve"> związane z różnym stopniem zaburzeń czynności wątroby.</w:t>
      </w:r>
      <w:r w:rsidRPr="00BE28C4">
        <w:rPr>
          <w:szCs w:val="22"/>
        </w:rPr>
        <w:t xml:space="preserve"> U pacjentów z ciężkimi zaburzeniami czynności wątroby stosowanie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jest przeciwwskazane (patrz punkt 4.3), a u pacjentów z umiarkowanym zaburzeniem czynności wątroby jest niezalecane</w:t>
      </w:r>
      <w:r w:rsidRPr="00BE28C4">
        <w:t xml:space="preserve"> </w:t>
      </w:r>
      <w:r w:rsidRPr="00BE28C4">
        <w:rPr>
          <w:lang w:val="pl"/>
        </w:rPr>
        <w:t xml:space="preserve">(patrz punkt 4.4). U pacjentów z lekkimi zaburzeniami czynności wątroby należy zmniejszyć maksymalną dobową dawkę skojarzenia </w:t>
      </w:r>
      <w:proofErr w:type="spellStart"/>
      <w:r w:rsidRPr="00BE28C4">
        <w:rPr>
          <w:lang w:val="pl"/>
        </w:rPr>
        <w:t>naltrekson</w:t>
      </w:r>
      <w:proofErr w:type="spellEnd"/>
      <w:r w:rsidRPr="00BE28C4">
        <w:rPr>
          <w:lang w:val="pl"/>
        </w:rPr>
        <w:t xml:space="preserve"> + </w:t>
      </w:r>
      <w:proofErr w:type="spellStart"/>
      <w:r w:rsidRPr="00BE28C4">
        <w:rPr>
          <w:lang w:val="pl"/>
        </w:rPr>
        <w:t>bupropion</w:t>
      </w:r>
      <w:proofErr w:type="spellEnd"/>
      <w:r w:rsidRPr="00BE28C4">
        <w:rPr>
          <w:lang w:val="pl"/>
        </w:rPr>
        <w:t xml:space="preserve"> (patrz punkt 4.2).</w:t>
      </w:r>
    </w:p>
    <w:p w14:paraId="077F4EC8" w14:textId="77777777" w:rsidR="004E3AC5" w:rsidRPr="00BE28C4" w:rsidRDefault="004E3AC5">
      <w:pPr>
        <w:spacing w:line="240" w:lineRule="auto"/>
        <w:rPr>
          <w:bCs/>
          <w:iCs/>
          <w:szCs w:val="22"/>
        </w:rPr>
      </w:pPr>
    </w:p>
    <w:p w14:paraId="39FDF7CB" w14:textId="77777777" w:rsidR="004E3AC5" w:rsidRPr="00BE28C4" w:rsidRDefault="00907ADD">
      <w:pPr>
        <w:spacing w:line="240" w:lineRule="auto"/>
        <w:rPr>
          <w:szCs w:val="22"/>
        </w:rPr>
      </w:pPr>
      <w:r w:rsidRPr="00BE28C4">
        <w:rPr>
          <w:i/>
          <w:szCs w:val="22"/>
        </w:rPr>
        <w:t>Zaburzenia czynności nerek</w:t>
      </w:r>
      <w:r w:rsidRPr="00BE28C4">
        <w:rPr>
          <w:szCs w:val="22"/>
        </w:rPr>
        <w:t xml:space="preserve">: Przeprowadzono badanie farmakokinetyczne z pojedynczą dawką, podając skojarzenie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pacjentom z łagodnymi, umiarkowanymi i ciężkimi zaburzeniami czynności nerek, oraz pacjentom z prawidłową funkcją nerek. Wyniki tego badania wykazały, że obszar pod krzywą dla stężenia </w:t>
      </w:r>
      <w:proofErr w:type="spellStart"/>
      <w:r w:rsidRPr="00BE28C4">
        <w:rPr>
          <w:szCs w:val="22"/>
        </w:rPr>
        <w:t>naltreksonu</w:t>
      </w:r>
      <w:proofErr w:type="spellEnd"/>
      <w:r w:rsidRPr="00BE28C4">
        <w:rPr>
          <w:szCs w:val="22"/>
        </w:rPr>
        <w:t xml:space="preserve"> i jego metabolitów w osoczu oraz dla stężenia </w:t>
      </w:r>
      <w:proofErr w:type="spellStart"/>
      <w:r w:rsidRPr="00BE28C4">
        <w:rPr>
          <w:szCs w:val="22"/>
        </w:rPr>
        <w:t>bupropionu</w:t>
      </w:r>
      <w:proofErr w:type="spellEnd"/>
      <w:r w:rsidRPr="00BE28C4">
        <w:rPr>
          <w:szCs w:val="22"/>
        </w:rPr>
        <w:t xml:space="preserve"> i jego metabolitów w osoczu zwiększył się mniej niż dwukrotnie u pacjentów z umiarkowanymi i ciężkimi zaburzeniami czynności nerek, natomiast u pacjentów z łagodnymi zaburzeniami czynności nerek zaobserwowany wzrost był mniejszy. W oparciu o te wyniki, nie zaleca się dostosowywania dawki leku u pacjentów z łagodnymi zaburzeniami czynności nerek. U pacjentów z umiarkowanymi lub ciężkimi zaburzeniami czynności nerek, maksymalna zalecana dawka dobowa skojarzenia </w:t>
      </w:r>
      <w:proofErr w:type="spellStart"/>
      <w:r w:rsidRPr="00BE28C4">
        <w:t>naltrekson</w:t>
      </w:r>
      <w:proofErr w:type="spellEnd"/>
      <w:r w:rsidRPr="00BE28C4">
        <w:t xml:space="preserve"> + </w:t>
      </w:r>
      <w:proofErr w:type="spellStart"/>
      <w:r w:rsidRPr="00BE28C4">
        <w:rPr>
          <w:szCs w:val="22"/>
        </w:rPr>
        <w:t>bupropion</w:t>
      </w:r>
      <w:proofErr w:type="spellEnd"/>
      <w:r w:rsidRPr="00BE28C4">
        <w:rPr>
          <w:szCs w:val="22"/>
        </w:rPr>
        <w:t xml:space="preserve"> powinna zostać obniżona (patrz punkt 4.2). </w:t>
      </w:r>
      <w:r w:rsidRPr="00BE28C4">
        <w:rPr>
          <w:szCs w:val="22"/>
        </w:rPr>
        <w:br/>
        <w:t xml:space="preserve">U pacjentów ze schyłkową niewydolnością nerek stosowanie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jest przeciwwskazane (patrz punkt 4.3).</w:t>
      </w:r>
    </w:p>
    <w:p w14:paraId="5F17F5DE" w14:textId="77777777" w:rsidR="004E3AC5" w:rsidRPr="00BE28C4" w:rsidRDefault="004E3AC5">
      <w:pPr>
        <w:numPr>
          <w:ilvl w:val="12"/>
          <w:numId w:val="0"/>
        </w:numPr>
        <w:spacing w:line="240" w:lineRule="auto"/>
        <w:ind w:right="-2"/>
        <w:rPr>
          <w:iCs/>
          <w:szCs w:val="22"/>
        </w:rPr>
      </w:pPr>
    </w:p>
    <w:p w14:paraId="35403EA9" w14:textId="77777777" w:rsidR="004E3AC5" w:rsidRPr="00BE28C4" w:rsidRDefault="00907ADD">
      <w:pPr>
        <w:spacing w:line="240" w:lineRule="auto"/>
        <w:ind w:left="567" w:hanging="567"/>
        <w:outlineLvl w:val="0"/>
        <w:rPr>
          <w:szCs w:val="22"/>
        </w:rPr>
      </w:pPr>
      <w:r w:rsidRPr="00BE28C4">
        <w:rPr>
          <w:b/>
          <w:szCs w:val="22"/>
        </w:rPr>
        <w:t>5.3</w:t>
      </w:r>
      <w:r w:rsidRPr="00BE28C4">
        <w:rPr>
          <w:szCs w:val="22"/>
        </w:rPr>
        <w:tab/>
      </w:r>
      <w:r w:rsidRPr="00BE28C4">
        <w:rPr>
          <w:b/>
          <w:szCs w:val="22"/>
        </w:rPr>
        <w:t>Przedkliniczne dane o bezpieczeństwie</w:t>
      </w:r>
    </w:p>
    <w:p w14:paraId="7CB09A47" w14:textId="77777777" w:rsidR="004E3AC5" w:rsidRPr="00BE28C4" w:rsidRDefault="004E3AC5">
      <w:pPr>
        <w:spacing w:line="240" w:lineRule="auto"/>
        <w:rPr>
          <w:szCs w:val="22"/>
        </w:rPr>
      </w:pPr>
    </w:p>
    <w:p w14:paraId="1E1BA189" w14:textId="77777777" w:rsidR="004E3AC5" w:rsidRPr="00BE28C4" w:rsidRDefault="00907ADD">
      <w:pPr>
        <w:spacing w:line="240" w:lineRule="auto"/>
        <w:rPr>
          <w:szCs w:val="22"/>
        </w:rPr>
      </w:pPr>
      <w:r w:rsidRPr="00BE28C4">
        <w:rPr>
          <w:szCs w:val="22"/>
        </w:rPr>
        <w:t xml:space="preserve">Nie badano na zwierzętach skutków działania skojarzenia </w:t>
      </w:r>
      <w:proofErr w:type="spellStart"/>
      <w:r w:rsidRPr="00BE28C4">
        <w:rPr>
          <w:szCs w:val="22"/>
        </w:rPr>
        <w:t>bupropionu</w:t>
      </w:r>
      <w:proofErr w:type="spellEnd"/>
      <w:r w:rsidRPr="00BE28C4">
        <w:rPr>
          <w:szCs w:val="22"/>
        </w:rPr>
        <w:t xml:space="preserve"> i </w:t>
      </w:r>
      <w:proofErr w:type="spellStart"/>
      <w:r w:rsidRPr="00BE28C4">
        <w:rPr>
          <w:szCs w:val="22"/>
        </w:rPr>
        <w:t>naltreksonu</w:t>
      </w:r>
      <w:proofErr w:type="spellEnd"/>
      <w:r w:rsidRPr="00BE28C4">
        <w:rPr>
          <w:szCs w:val="22"/>
        </w:rPr>
        <w:t>.</w:t>
      </w:r>
    </w:p>
    <w:p w14:paraId="2510D578" w14:textId="77777777" w:rsidR="004E3AC5" w:rsidRPr="00BE28C4" w:rsidRDefault="004E3AC5">
      <w:pPr>
        <w:spacing w:line="240" w:lineRule="auto"/>
        <w:rPr>
          <w:szCs w:val="22"/>
        </w:rPr>
      </w:pPr>
    </w:p>
    <w:p w14:paraId="11DA2820" w14:textId="77777777" w:rsidR="004E3AC5" w:rsidRPr="00BE28C4" w:rsidRDefault="00907ADD">
      <w:pPr>
        <w:widowControl w:val="0"/>
        <w:autoSpaceDE w:val="0"/>
        <w:autoSpaceDN w:val="0"/>
        <w:adjustRightInd w:val="0"/>
        <w:spacing w:line="240" w:lineRule="auto"/>
        <w:rPr>
          <w:szCs w:val="22"/>
        </w:rPr>
      </w:pPr>
      <w:r w:rsidRPr="00BE28C4">
        <w:rPr>
          <w:szCs w:val="22"/>
        </w:rPr>
        <w:t xml:space="preserve">Dane niekliniczne dotyczące substancji czynnych produktu, wynikające z konwencjonalnych badań farmakologicznych dotyczących bezpieczeństwa, badań toksyczności po podaniu wielokrotnym, </w:t>
      </w:r>
      <w:proofErr w:type="spellStart"/>
      <w:r w:rsidRPr="00BE28C4">
        <w:rPr>
          <w:szCs w:val="22"/>
        </w:rPr>
        <w:t>genotoksyczności</w:t>
      </w:r>
      <w:proofErr w:type="spellEnd"/>
      <w:r w:rsidRPr="00BE28C4">
        <w:rPr>
          <w:szCs w:val="22"/>
        </w:rPr>
        <w:t xml:space="preserve"> oraz rakotwórczości nie ujawniają szczególnego zagrożenia dla człowieka. W badaniach nieklinicznych wszelkie działania obserwowano jedynie w przypadku narażenia przekraczającego maksymalną ekspozycję u człowieka, co wskazuje na niewielkie </w:t>
      </w:r>
      <w:r w:rsidRPr="00BE28C4">
        <w:rPr>
          <w:szCs w:val="22"/>
        </w:rPr>
        <w:lastRenderedPageBreak/>
        <w:t>znaczenie tych obserwacji w praktyce klinicznej. Są jednak pewne dowody na ujawnianie się działania </w:t>
      </w:r>
      <w:proofErr w:type="spellStart"/>
      <w:r w:rsidRPr="00BE28C4">
        <w:rPr>
          <w:szCs w:val="22"/>
        </w:rPr>
        <w:t>hepatotoksycznego</w:t>
      </w:r>
      <w:proofErr w:type="spellEnd"/>
      <w:r w:rsidRPr="00BE28C4">
        <w:rPr>
          <w:szCs w:val="22"/>
        </w:rPr>
        <w:t xml:space="preserve"> w miarę zwiększania dawki, bowiem u ludzi stosujących dawki lecznicze i wyższe opisywano przypadki odwracalnego wzrostu aktywności enzymów wątrobowych (patrz punkty 4.4 i 4.8). Choć w badaniach na zwierzętach obserwuje się zmiany w wątrobie przy stosowaniu </w:t>
      </w:r>
      <w:proofErr w:type="spellStart"/>
      <w:r w:rsidRPr="00BE28C4">
        <w:rPr>
          <w:szCs w:val="22"/>
        </w:rPr>
        <w:t>bupropionu</w:t>
      </w:r>
      <w:proofErr w:type="spellEnd"/>
      <w:r w:rsidRPr="00BE28C4">
        <w:rPr>
          <w:szCs w:val="22"/>
        </w:rPr>
        <w:t xml:space="preserve">, to stanowią one efekt działania induktora enzymów wątrobowych. W dawkach zalecanych u ludzi </w:t>
      </w:r>
      <w:proofErr w:type="spellStart"/>
      <w:r w:rsidRPr="00BE28C4">
        <w:rPr>
          <w:szCs w:val="22"/>
        </w:rPr>
        <w:t>bupropion</w:t>
      </w:r>
      <w:proofErr w:type="spellEnd"/>
      <w:r w:rsidRPr="00BE28C4">
        <w:rPr>
          <w:szCs w:val="22"/>
        </w:rPr>
        <w:t xml:space="preserve"> nie indukuje swojego własnego metabolizmu. Wskazuje to zatem na to, że zmiany wątrobowe stwierdzane u zwierząt laboratoryjnych mają jedynie ograniczone znaczenie w ogólnej ocenie oraz ocenie ryzyka związanego ze stosowaniem </w:t>
      </w:r>
      <w:proofErr w:type="spellStart"/>
      <w:r w:rsidRPr="00BE28C4">
        <w:rPr>
          <w:szCs w:val="22"/>
        </w:rPr>
        <w:t>bupropionu</w:t>
      </w:r>
      <w:proofErr w:type="spellEnd"/>
      <w:r w:rsidRPr="00BE28C4">
        <w:rPr>
          <w:szCs w:val="22"/>
        </w:rPr>
        <w:t>.</w:t>
      </w:r>
    </w:p>
    <w:p w14:paraId="79420AB2" w14:textId="77777777" w:rsidR="004E3AC5" w:rsidRPr="00BE28C4" w:rsidRDefault="004E3AC5">
      <w:pPr>
        <w:widowControl w:val="0"/>
        <w:autoSpaceDE w:val="0"/>
        <w:autoSpaceDN w:val="0"/>
        <w:adjustRightInd w:val="0"/>
        <w:spacing w:line="240" w:lineRule="auto"/>
        <w:rPr>
          <w:szCs w:val="22"/>
        </w:rPr>
      </w:pPr>
    </w:p>
    <w:p w14:paraId="75A13BE8" w14:textId="77777777" w:rsidR="004E3AC5" w:rsidRPr="00BE28C4" w:rsidRDefault="00907ADD">
      <w:pPr>
        <w:keepNext/>
        <w:autoSpaceDE w:val="0"/>
        <w:autoSpaceDN w:val="0"/>
        <w:adjustRightInd w:val="0"/>
        <w:spacing w:line="240" w:lineRule="auto"/>
        <w:rPr>
          <w:szCs w:val="22"/>
          <w:u w:val="single"/>
        </w:rPr>
      </w:pPr>
      <w:r w:rsidRPr="00BE28C4">
        <w:rPr>
          <w:i/>
          <w:szCs w:val="22"/>
          <w:u w:val="single"/>
        </w:rPr>
        <w:t>Toksyczny wpływ na rozrodczość:</w:t>
      </w:r>
    </w:p>
    <w:p w14:paraId="45842D31" w14:textId="77777777" w:rsidR="004E3AC5" w:rsidRPr="00BE28C4" w:rsidRDefault="00907ADD">
      <w:pPr>
        <w:widowControl w:val="0"/>
        <w:autoSpaceDE w:val="0"/>
        <w:autoSpaceDN w:val="0"/>
        <w:adjustRightInd w:val="0"/>
        <w:spacing w:line="240" w:lineRule="auto"/>
        <w:rPr>
          <w:szCs w:val="22"/>
        </w:rPr>
      </w:pPr>
      <w:proofErr w:type="spellStart"/>
      <w:r w:rsidRPr="00BE28C4">
        <w:rPr>
          <w:szCs w:val="22"/>
        </w:rPr>
        <w:t>Naltrekson</w:t>
      </w:r>
      <w:proofErr w:type="spellEnd"/>
      <w:r w:rsidRPr="00BE28C4">
        <w:rPr>
          <w:szCs w:val="22"/>
        </w:rPr>
        <w:t xml:space="preserve"> (w dawce 100 mg/kg/dobę, która w przybliżeniu odpowiada 30</w:t>
      </w:r>
      <w:r w:rsidRPr="00BE28C4">
        <w:rPr>
          <w:szCs w:val="22"/>
        </w:rPr>
        <w:noBreakHyphen/>
        <w:t xml:space="preserve">krotności dawki </w:t>
      </w:r>
      <w:proofErr w:type="spellStart"/>
      <w:r w:rsidRPr="00BE28C4">
        <w:rPr>
          <w:szCs w:val="22"/>
        </w:rPr>
        <w:t>naltreksonu</w:t>
      </w:r>
      <w:proofErr w:type="spellEnd"/>
      <w:r w:rsidRPr="00BE28C4">
        <w:rPr>
          <w:szCs w:val="22"/>
        </w:rPr>
        <w:t xml:space="preserve"> uwalnianej ze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xml:space="preserve"> w przeliczeniu na mg/m</w:t>
      </w:r>
      <w:r w:rsidRPr="00BE28C4">
        <w:rPr>
          <w:szCs w:val="22"/>
          <w:vertAlign w:val="superscript"/>
        </w:rPr>
        <w:t>2</w:t>
      </w:r>
      <w:r w:rsidRPr="00BE28C4">
        <w:rPr>
          <w:szCs w:val="22"/>
        </w:rPr>
        <w:t>) wywoływał znamienny wzrost częstości występowania ciąż urojonych u szczurów. Stwierdzano też spadek częstości zachodzenia w ciążę u krytych samic szczura. Nie stwierdzono żadnego wpływu na płodność samców przy tym poziomie dawki. Nie wiadomo, czy powyższe obserwacje mają jakiekolwiek przełożenie na płodność u ludzi.</w:t>
      </w:r>
    </w:p>
    <w:p w14:paraId="7AC678A7" w14:textId="77777777" w:rsidR="004E3AC5" w:rsidRPr="00BE28C4" w:rsidRDefault="004E3AC5">
      <w:pPr>
        <w:widowControl w:val="0"/>
        <w:autoSpaceDE w:val="0"/>
        <w:autoSpaceDN w:val="0"/>
        <w:adjustRightInd w:val="0"/>
        <w:spacing w:line="240" w:lineRule="auto"/>
        <w:rPr>
          <w:szCs w:val="22"/>
        </w:rPr>
      </w:pPr>
    </w:p>
    <w:p w14:paraId="2B0FA64A" w14:textId="77777777" w:rsidR="004E3AC5" w:rsidRPr="00BE28C4" w:rsidRDefault="00907ADD">
      <w:pPr>
        <w:widowControl w:val="0"/>
        <w:autoSpaceDE w:val="0"/>
        <w:autoSpaceDN w:val="0"/>
        <w:adjustRightInd w:val="0"/>
        <w:spacing w:line="240" w:lineRule="auto"/>
        <w:rPr>
          <w:szCs w:val="22"/>
        </w:rPr>
      </w:pPr>
      <w:r w:rsidRPr="00BE28C4">
        <w:rPr>
          <w:szCs w:val="22"/>
        </w:rPr>
        <w:t xml:space="preserve">Wykazano, że </w:t>
      </w:r>
      <w:proofErr w:type="spellStart"/>
      <w:r w:rsidRPr="00BE28C4">
        <w:rPr>
          <w:szCs w:val="22"/>
        </w:rPr>
        <w:t>naltrekson</w:t>
      </w:r>
      <w:proofErr w:type="spellEnd"/>
      <w:r w:rsidRPr="00BE28C4">
        <w:rPr>
          <w:szCs w:val="22"/>
        </w:rPr>
        <w:t xml:space="preserve"> wywiera działanie </w:t>
      </w:r>
      <w:proofErr w:type="spellStart"/>
      <w:r w:rsidRPr="00BE28C4">
        <w:rPr>
          <w:szCs w:val="22"/>
        </w:rPr>
        <w:t>zarodkobójcze</w:t>
      </w:r>
      <w:proofErr w:type="spellEnd"/>
      <w:r w:rsidRPr="00BE28C4">
        <w:rPr>
          <w:szCs w:val="22"/>
        </w:rPr>
        <w:t xml:space="preserve"> u szczurów, kiedy podawany jest </w:t>
      </w:r>
      <w:r w:rsidRPr="00BE28C4">
        <w:rPr>
          <w:szCs w:val="22"/>
        </w:rPr>
        <w:br/>
        <w:t>w dawce 100 mg/kg mc./dobę (odpowiadającej 30</w:t>
      </w:r>
      <w:r w:rsidRPr="00BE28C4">
        <w:rPr>
          <w:szCs w:val="22"/>
        </w:rPr>
        <w:noBreakHyphen/>
        <w:t xml:space="preserve">krotności dawki </w:t>
      </w:r>
      <w:proofErr w:type="spellStart"/>
      <w:r w:rsidRPr="00BE28C4">
        <w:rPr>
          <w:szCs w:val="22"/>
        </w:rPr>
        <w:t>naltreksonu</w:t>
      </w:r>
      <w:proofErr w:type="spellEnd"/>
      <w:r w:rsidRPr="00BE28C4">
        <w:rPr>
          <w:szCs w:val="22"/>
        </w:rPr>
        <w:t xml:space="preserve"> uwalnianej ze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przed ciążą i przez cały okres ciąży, oraz u królików, kiedy podawany jest w dawce 60 mg/kg mc./dobę (odpowiadającej 36</w:t>
      </w:r>
      <w:r w:rsidRPr="00BE28C4">
        <w:rPr>
          <w:szCs w:val="22"/>
        </w:rPr>
        <w:noBreakHyphen/>
        <w:t xml:space="preserve">krotności dawki </w:t>
      </w:r>
      <w:proofErr w:type="spellStart"/>
      <w:r w:rsidRPr="00BE28C4">
        <w:rPr>
          <w:szCs w:val="22"/>
        </w:rPr>
        <w:t>naltreksonu</w:t>
      </w:r>
      <w:proofErr w:type="spellEnd"/>
      <w:r w:rsidRPr="00BE28C4">
        <w:rPr>
          <w:szCs w:val="22"/>
        </w:rPr>
        <w:t xml:space="preserve"> uwalnianej ze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w okresie organogenezy.</w:t>
      </w:r>
    </w:p>
    <w:p w14:paraId="126B3609" w14:textId="77777777" w:rsidR="004E3AC5" w:rsidRPr="00BE28C4" w:rsidRDefault="004E3AC5">
      <w:pPr>
        <w:spacing w:line="240" w:lineRule="auto"/>
        <w:rPr>
          <w:szCs w:val="22"/>
        </w:rPr>
      </w:pPr>
    </w:p>
    <w:p w14:paraId="36049FE2" w14:textId="77777777" w:rsidR="004E3AC5" w:rsidRPr="00BE28C4" w:rsidRDefault="00907ADD">
      <w:pPr>
        <w:spacing w:line="240" w:lineRule="auto"/>
        <w:rPr>
          <w:szCs w:val="22"/>
        </w:rPr>
      </w:pPr>
      <w:r w:rsidRPr="00BE28C4">
        <w:rPr>
          <w:szCs w:val="22"/>
        </w:rPr>
        <w:t xml:space="preserve">W badaniu wpływu </w:t>
      </w:r>
      <w:proofErr w:type="spellStart"/>
      <w:r w:rsidRPr="00BE28C4">
        <w:rPr>
          <w:szCs w:val="22"/>
        </w:rPr>
        <w:t>bupropionu</w:t>
      </w:r>
      <w:proofErr w:type="spellEnd"/>
      <w:r w:rsidRPr="00BE28C4">
        <w:rPr>
          <w:szCs w:val="22"/>
        </w:rPr>
        <w:t xml:space="preserve"> na płodność u szczurów, w którym podawano dawki sięgające 300 mg/kg mc./dobę (odpowiadające dawkom sięgającym 8</w:t>
      </w:r>
      <w:r w:rsidRPr="00BE28C4">
        <w:rPr>
          <w:szCs w:val="22"/>
        </w:rPr>
        <w:noBreakHyphen/>
        <w:t xml:space="preserve">krotności dawki </w:t>
      </w:r>
      <w:proofErr w:type="spellStart"/>
      <w:r w:rsidRPr="00BE28C4">
        <w:rPr>
          <w:szCs w:val="22"/>
        </w:rPr>
        <w:t>bupropionu</w:t>
      </w:r>
      <w:proofErr w:type="spellEnd"/>
      <w:r w:rsidRPr="00BE28C4">
        <w:rPr>
          <w:szCs w:val="22"/>
        </w:rPr>
        <w:t xml:space="preserve"> uwalnianej ze skojarzenia </w:t>
      </w:r>
      <w:proofErr w:type="spellStart"/>
      <w:r w:rsidRPr="00BE28C4">
        <w:rPr>
          <w:szCs w:val="22"/>
        </w:rPr>
        <w:t>naltrekson</w:t>
      </w:r>
      <w:proofErr w:type="spellEnd"/>
      <w:r w:rsidRPr="00BE28C4">
        <w:rPr>
          <w:szCs w:val="22"/>
        </w:rPr>
        <w:t xml:space="preserve"> + </w:t>
      </w:r>
      <w:proofErr w:type="spellStart"/>
      <w:r w:rsidRPr="00BE28C4">
        <w:rPr>
          <w:szCs w:val="22"/>
        </w:rPr>
        <w:t>bupropion</w:t>
      </w:r>
      <w:proofErr w:type="spellEnd"/>
      <w:r w:rsidRPr="00BE28C4">
        <w:rPr>
          <w:szCs w:val="22"/>
        </w:rPr>
        <w:t>) nie stwierdzono żadnych dowodów na działanie zaburzające płodność.</w:t>
      </w:r>
    </w:p>
    <w:p w14:paraId="6A7665CF" w14:textId="77777777" w:rsidR="004E3AC5" w:rsidRPr="00BE28C4" w:rsidRDefault="004E3AC5">
      <w:pPr>
        <w:widowControl w:val="0"/>
        <w:autoSpaceDE w:val="0"/>
        <w:autoSpaceDN w:val="0"/>
        <w:adjustRightInd w:val="0"/>
        <w:spacing w:line="240" w:lineRule="auto"/>
        <w:rPr>
          <w:szCs w:val="22"/>
        </w:rPr>
      </w:pPr>
    </w:p>
    <w:p w14:paraId="5B2CA5B1" w14:textId="77777777" w:rsidR="004E3AC5" w:rsidRPr="00BE28C4" w:rsidRDefault="00907ADD">
      <w:pPr>
        <w:spacing w:line="240" w:lineRule="auto"/>
        <w:rPr>
          <w:szCs w:val="22"/>
        </w:rPr>
      </w:pPr>
      <w:proofErr w:type="spellStart"/>
      <w:r w:rsidRPr="00BE28C4">
        <w:rPr>
          <w:i/>
          <w:szCs w:val="22"/>
          <w:u w:val="single"/>
        </w:rPr>
        <w:t>Genotoksyczność</w:t>
      </w:r>
      <w:proofErr w:type="spellEnd"/>
      <w:r w:rsidRPr="00BE28C4">
        <w:rPr>
          <w:i/>
          <w:szCs w:val="22"/>
          <w:u w:val="single"/>
        </w:rPr>
        <w:t>:</w:t>
      </w:r>
    </w:p>
    <w:p w14:paraId="5ADD5BEE" w14:textId="77777777" w:rsidR="004E3AC5" w:rsidRPr="00BE28C4" w:rsidRDefault="00907ADD">
      <w:pPr>
        <w:spacing w:line="240" w:lineRule="auto"/>
        <w:rPr>
          <w:szCs w:val="22"/>
        </w:rPr>
      </w:pPr>
      <w:r w:rsidRPr="00BE28C4">
        <w:rPr>
          <w:szCs w:val="22"/>
        </w:rPr>
        <w:t xml:space="preserve">W przypadku </w:t>
      </w:r>
      <w:proofErr w:type="spellStart"/>
      <w:r w:rsidRPr="00BE28C4">
        <w:rPr>
          <w:szCs w:val="22"/>
        </w:rPr>
        <w:t>naltreksonu</w:t>
      </w:r>
      <w:proofErr w:type="spellEnd"/>
      <w:r w:rsidRPr="00BE28C4">
        <w:rPr>
          <w:szCs w:val="22"/>
        </w:rPr>
        <w:t xml:space="preserve"> uzyskano ujemne wyniki w następujących badaniach </w:t>
      </w:r>
      <w:proofErr w:type="spellStart"/>
      <w:r w:rsidRPr="00BE28C4">
        <w:rPr>
          <w:szCs w:val="22"/>
        </w:rPr>
        <w:t>genotoksyczności</w:t>
      </w:r>
      <w:proofErr w:type="spellEnd"/>
      <w:r w:rsidRPr="00BE28C4">
        <w:rPr>
          <w:szCs w:val="22"/>
        </w:rPr>
        <w:t xml:space="preserve"> </w:t>
      </w:r>
      <w:r w:rsidRPr="00BE28C4">
        <w:rPr>
          <w:szCs w:val="22"/>
        </w:rPr>
        <w:br/>
        <w:t xml:space="preserve">w warunkach </w:t>
      </w:r>
      <w:r w:rsidRPr="00BE28C4">
        <w:rPr>
          <w:i/>
          <w:szCs w:val="22"/>
        </w:rPr>
        <w:t>in vitro</w:t>
      </w:r>
      <w:r w:rsidRPr="00BE28C4">
        <w:rPr>
          <w:szCs w:val="22"/>
        </w:rPr>
        <w:t xml:space="preserve">: w teście mutacji powrotnych na bakteriach (teście </w:t>
      </w:r>
      <w:proofErr w:type="spellStart"/>
      <w:r w:rsidRPr="00BE28C4">
        <w:rPr>
          <w:szCs w:val="22"/>
        </w:rPr>
        <w:t>Amesa</w:t>
      </w:r>
      <w:proofErr w:type="spellEnd"/>
      <w:r w:rsidRPr="00BE28C4">
        <w:rPr>
          <w:szCs w:val="22"/>
        </w:rPr>
        <w:t xml:space="preserve">), w teście dziedzicznych translokacji, w teście wymiany chromatyd siostrzanych w komórkach jajnika chomika chińskiego (CHO) oraz w teście mutacji genowych na komórkach </w:t>
      </w:r>
      <w:proofErr w:type="spellStart"/>
      <w:r w:rsidRPr="00BE28C4">
        <w:rPr>
          <w:szCs w:val="22"/>
        </w:rPr>
        <w:t>chłoniaka</w:t>
      </w:r>
      <w:proofErr w:type="spellEnd"/>
      <w:r w:rsidRPr="00BE28C4">
        <w:rPr>
          <w:szCs w:val="22"/>
        </w:rPr>
        <w:t xml:space="preserve"> myszy. </w:t>
      </w:r>
      <w:r w:rsidRPr="00BE28C4">
        <w:rPr>
          <w:szCs w:val="22"/>
        </w:rPr>
        <w:br/>
        <w:t xml:space="preserve">W przypadku </w:t>
      </w:r>
      <w:proofErr w:type="spellStart"/>
      <w:r w:rsidRPr="00BE28C4">
        <w:rPr>
          <w:szCs w:val="22"/>
        </w:rPr>
        <w:t>naltreksonu</w:t>
      </w:r>
      <w:proofErr w:type="spellEnd"/>
      <w:r w:rsidRPr="00BE28C4">
        <w:rPr>
          <w:szCs w:val="22"/>
        </w:rPr>
        <w:t xml:space="preserve"> uzyskano też ujemne wyniki w przeprowadzanym w warunkach </w:t>
      </w:r>
      <w:r w:rsidRPr="00BE28C4">
        <w:rPr>
          <w:i/>
          <w:szCs w:val="22"/>
        </w:rPr>
        <w:t>in vivo</w:t>
      </w:r>
      <w:r w:rsidRPr="00BE28C4">
        <w:rPr>
          <w:szCs w:val="22"/>
        </w:rPr>
        <w:t xml:space="preserve"> teście </w:t>
      </w:r>
      <w:proofErr w:type="spellStart"/>
      <w:r w:rsidRPr="00BE28C4">
        <w:rPr>
          <w:szCs w:val="22"/>
        </w:rPr>
        <w:t>mikrojąderkowym</w:t>
      </w:r>
      <w:proofErr w:type="spellEnd"/>
      <w:r w:rsidRPr="00BE28C4">
        <w:rPr>
          <w:szCs w:val="22"/>
        </w:rPr>
        <w:t xml:space="preserve"> u myszy. Dodatnie wyniki dla </w:t>
      </w:r>
      <w:proofErr w:type="spellStart"/>
      <w:r w:rsidRPr="00BE28C4">
        <w:rPr>
          <w:szCs w:val="22"/>
        </w:rPr>
        <w:t>naltreksonu</w:t>
      </w:r>
      <w:proofErr w:type="spellEnd"/>
      <w:r w:rsidRPr="00BE28C4">
        <w:rPr>
          <w:szCs w:val="22"/>
        </w:rPr>
        <w:t xml:space="preserve"> uzyskano natomiast w następujących testach: w teście na wykrywanie recesywnych mutacji letalnych u muszki owocowej, w testach nieswoistego uszkodzenia i naprawy DNA w komórkach </w:t>
      </w:r>
      <w:proofErr w:type="spellStart"/>
      <w:proofErr w:type="gramStart"/>
      <w:r w:rsidRPr="00BE28C4">
        <w:rPr>
          <w:i/>
          <w:szCs w:val="22"/>
        </w:rPr>
        <w:t>E.coli</w:t>
      </w:r>
      <w:proofErr w:type="spellEnd"/>
      <w:proofErr w:type="gramEnd"/>
      <w:r w:rsidRPr="00BE28C4">
        <w:rPr>
          <w:szCs w:val="22"/>
        </w:rPr>
        <w:t xml:space="preserve"> i komórkach WI-38 oraz </w:t>
      </w:r>
      <w:r w:rsidRPr="00BE28C4">
        <w:rPr>
          <w:szCs w:val="22"/>
        </w:rPr>
        <w:br/>
        <w:t>w badaniu moczu w kierunku metylowanych reszt histydyny. Nie wiadomo, jakie jest znaczenie kliniczne tych niejednoznacznych obserwacji.</w:t>
      </w:r>
    </w:p>
    <w:p w14:paraId="791C9120" w14:textId="77777777" w:rsidR="004E3AC5" w:rsidRPr="00BE28C4" w:rsidRDefault="004E3AC5">
      <w:pPr>
        <w:spacing w:line="240" w:lineRule="auto"/>
        <w:rPr>
          <w:szCs w:val="22"/>
        </w:rPr>
      </w:pPr>
    </w:p>
    <w:p w14:paraId="57F86665" w14:textId="77777777" w:rsidR="004E3AC5" w:rsidRPr="00BE28C4" w:rsidRDefault="00907ADD">
      <w:pPr>
        <w:spacing w:line="240" w:lineRule="auto"/>
        <w:rPr>
          <w:szCs w:val="22"/>
        </w:rPr>
      </w:pPr>
      <w:r w:rsidRPr="00BE28C4">
        <w:rPr>
          <w:szCs w:val="22"/>
        </w:rPr>
        <w:t xml:space="preserve">Dane dotyczące </w:t>
      </w:r>
      <w:proofErr w:type="spellStart"/>
      <w:r w:rsidRPr="00BE28C4">
        <w:rPr>
          <w:szCs w:val="22"/>
        </w:rPr>
        <w:t>genotoksyczności</w:t>
      </w:r>
      <w:proofErr w:type="spellEnd"/>
      <w:r w:rsidRPr="00BE28C4">
        <w:rPr>
          <w:szCs w:val="22"/>
        </w:rPr>
        <w:t xml:space="preserve"> wskazują, że choć </w:t>
      </w:r>
      <w:proofErr w:type="spellStart"/>
      <w:r w:rsidRPr="00BE28C4">
        <w:rPr>
          <w:szCs w:val="22"/>
        </w:rPr>
        <w:t>bupropion</w:t>
      </w:r>
      <w:proofErr w:type="spellEnd"/>
      <w:r w:rsidRPr="00BE28C4">
        <w:rPr>
          <w:szCs w:val="22"/>
        </w:rPr>
        <w:t xml:space="preserve"> jest słabym mutagenem dla komórek bakteryjnych, to nie wywiera żadnego działania mutagennego na komórki ssaków, w związku z czym nie stanowi żadnego zagrożenia jako środek </w:t>
      </w:r>
      <w:proofErr w:type="spellStart"/>
      <w:r w:rsidRPr="00BE28C4">
        <w:rPr>
          <w:szCs w:val="22"/>
        </w:rPr>
        <w:t>genotoksyczny</w:t>
      </w:r>
      <w:proofErr w:type="spellEnd"/>
      <w:r w:rsidRPr="00BE28C4">
        <w:rPr>
          <w:szCs w:val="22"/>
        </w:rPr>
        <w:t xml:space="preserve"> dla ludzi. W badaniach na myszach </w:t>
      </w:r>
      <w:r w:rsidRPr="00BE28C4">
        <w:rPr>
          <w:szCs w:val="22"/>
        </w:rPr>
        <w:br/>
        <w:t>i szczurach potwierdzono brak działania rakotwórczego w tych gatunkach.</w:t>
      </w:r>
    </w:p>
    <w:p w14:paraId="6F7D0E93" w14:textId="77777777" w:rsidR="004E3AC5" w:rsidRPr="00BE28C4" w:rsidRDefault="004E3AC5">
      <w:pPr>
        <w:spacing w:line="240" w:lineRule="auto"/>
        <w:rPr>
          <w:szCs w:val="22"/>
        </w:rPr>
      </w:pPr>
    </w:p>
    <w:p w14:paraId="2BA50E19" w14:textId="77777777" w:rsidR="004E3AC5" w:rsidRPr="00BE28C4" w:rsidRDefault="004E3AC5">
      <w:pPr>
        <w:spacing w:line="240" w:lineRule="auto"/>
        <w:rPr>
          <w:szCs w:val="22"/>
        </w:rPr>
      </w:pPr>
    </w:p>
    <w:p w14:paraId="761A8FBF" w14:textId="77777777" w:rsidR="004E3AC5" w:rsidRPr="00BE28C4" w:rsidRDefault="00907ADD">
      <w:pPr>
        <w:spacing w:line="240" w:lineRule="auto"/>
        <w:ind w:left="567" w:hanging="567"/>
        <w:rPr>
          <w:b/>
          <w:szCs w:val="22"/>
        </w:rPr>
      </w:pPr>
      <w:r w:rsidRPr="00BE28C4">
        <w:rPr>
          <w:b/>
          <w:szCs w:val="22"/>
        </w:rPr>
        <w:t>6.</w:t>
      </w:r>
      <w:r w:rsidRPr="00BE28C4">
        <w:rPr>
          <w:szCs w:val="22"/>
        </w:rPr>
        <w:tab/>
      </w:r>
      <w:r w:rsidRPr="00BE28C4">
        <w:rPr>
          <w:b/>
          <w:szCs w:val="22"/>
        </w:rPr>
        <w:t>DANE FARMACEUTYCZNE</w:t>
      </w:r>
    </w:p>
    <w:p w14:paraId="74099B34" w14:textId="77777777" w:rsidR="004E3AC5" w:rsidRPr="00BE28C4" w:rsidRDefault="004E3AC5">
      <w:pPr>
        <w:spacing w:line="240" w:lineRule="auto"/>
        <w:rPr>
          <w:szCs w:val="22"/>
        </w:rPr>
      </w:pPr>
    </w:p>
    <w:p w14:paraId="2F940DCE" w14:textId="77777777" w:rsidR="004E3AC5" w:rsidRPr="00BE28C4" w:rsidRDefault="00907ADD">
      <w:pPr>
        <w:spacing w:line="240" w:lineRule="auto"/>
        <w:ind w:left="567" w:hanging="567"/>
        <w:outlineLvl w:val="0"/>
        <w:rPr>
          <w:szCs w:val="22"/>
        </w:rPr>
      </w:pPr>
      <w:r w:rsidRPr="00BE28C4">
        <w:rPr>
          <w:b/>
          <w:szCs w:val="22"/>
        </w:rPr>
        <w:t>6.1</w:t>
      </w:r>
      <w:r w:rsidRPr="00BE28C4">
        <w:rPr>
          <w:szCs w:val="22"/>
        </w:rPr>
        <w:tab/>
      </w:r>
      <w:r w:rsidRPr="00BE28C4">
        <w:rPr>
          <w:b/>
          <w:szCs w:val="22"/>
        </w:rPr>
        <w:t>Wykaz substancji pomocniczych</w:t>
      </w:r>
    </w:p>
    <w:p w14:paraId="5DE271AC" w14:textId="77777777" w:rsidR="004E3AC5" w:rsidRPr="00BE28C4" w:rsidRDefault="004E3AC5">
      <w:pPr>
        <w:spacing w:line="240" w:lineRule="auto"/>
        <w:rPr>
          <w:szCs w:val="22"/>
        </w:rPr>
      </w:pPr>
    </w:p>
    <w:p w14:paraId="532FCB85" w14:textId="77777777" w:rsidR="004E3AC5" w:rsidRPr="00BE28C4" w:rsidRDefault="00907ADD">
      <w:pPr>
        <w:spacing w:line="240" w:lineRule="auto"/>
        <w:rPr>
          <w:szCs w:val="22"/>
          <w:u w:val="single"/>
        </w:rPr>
      </w:pPr>
      <w:r w:rsidRPr="00BE28C4">
        <w:rPr>
          <w:szCs w:val="22"/>
          <w:u w:val="single"/>
        </w:rPr>
        <w:t>Rdzeń tabletki:</w:t>
      </w:r>
    </w:p>
    <w:p w14:paraId="6B9F86B4" w14:textId="77777777" w:rsidR="004E3AC5" w:rsidRPr="00BE28C4" w:rsidRDefault="00907ADD">
      <w:pPr>
        <w:spacing w:line="240" w:lineRule="auto"/>
        <w:rPr>
          <w:szCs w:val="22"/>
        </w:rPr>
      </w:pPr>
      <w:r w:rsidRPr="00BE28C4">
        <w:rPr>
          <w:szCs w:val="22"/>
        </w:rPr>
        <w:t xml:space="preserve">Cysteiny chlorowodorek </w:t>
      </w:r>
    </w:p>
    <w:p w14:paraId="61FF9BFA" w14:textId="77777777" w:rsidR="004E3AC5" w:rsidRPr="00BE28C4" w:rsidRDefault="00907ADD">
      <w:pPr>
        <w:spacing w:line="240" w:lineRule="auto"/>
        <w:rPr>
          <w:szCs w:val="22"/>
        </w:rPr>
      </w:pPr>
      <w:r w:rsidRPr="00BE28C4">
        <w:rPr>
          <w:szCs w:val="22"/>
        </w:rPr>
        <w:t xml:space="preserve">Celuloza mikrokrystaliczna </w:t>
      </w:r>
    </w:p>
    <w:p w14:paraId="260FB7F0" w14:textId="77777777" w:rsidR="004E3AC5" w:rsidRPr="00BE28C4" w:rsidRDefault="00907ADD">
      <w:pPr>
        <w:spacing w:line="240" w:lineRule="auto"/>
        <w:rPr>
          <w:szCs w:val="22"/>
        </w:rPr>
      </w:pPr>
      <w:proofErr w:type="spellStart"/>
      <w:r w:rsidRPr="00BE28C4">
        <w:rPr>
          <w:szCs w:val="22"/>
        </w:rPr>
        <w:t>Hydroksypropyloceluloza</w:t>
      </w:r>
      <w:proofErr w:type="spellEnd"/>
      <w:r w:rsidRPr="00BE28C4">
        <w:rPr>
          <w:szCs w:val="22"/>
        </w:rPr>
        <w:t xml:space="preserve"> </w:t>
      </w:r>
    </w:p>
    <w:p w14:paraId="44103E2A" w14:textId="77777777" w:rsidR="004E3AC5" w:rsidRPr="00BE28C4" w:rsidRDefault="00907ADD">
      <w:pPr>
        <w:spacing w:line="240" w:lineRule="auto"/>
        <w:rPr>
          <w:szCs w:val="22"/>
        </w:rPr>
      </w:pPr>
      <w:r w:rsidRPr="00BE28C4">
        <w:rPr>
          <w:szCs w:val="22"/>
        </w:rPr>
        <w:t xml:space="preserve">Magnezu stearynian </w:t>
      </w:r>
    </w:p>
    <w:p w14:paraId="3E2DB224" w14:textId="77777777" w:rsidR="004E3AC5" w:rsidRPr="00BE28C4" w:rsidRDefault="00907ADD">
      <w:pPr>
        <w:spacing w:line="240" w:lineRule="auto"/>
        <w:rPr>
          <w:szCs w:val="22"/>
        </w:rPr>
      </w:pPr>
      <w:r w:rsidRPr="00BE28C4">
        <w:rPr>
          <w:szCs w:val="22"/>
        </w:rPr>
        <w:t>Laktoza bezwodna</w:t>
      </w:r>
    </w:p>
    <w:p w14:paraId="7A17E398" w14:textId="77777777" w:rsidR="004E3AC5" w:rsidRPr="00BE28C4" w:rsidRDefault="00907ADD">
      <w:pPr>
        <w:spacing w:line="240" w:lineRule="auto"/>
        <w:rPr>
          <w:szCs w:val="22"/>
        </w:rPr>
      </w:pPr>
      <w:r w:rsidRPr="00BE28C4">
        <w:rPr>
          <w:szCs w:val="22"/>
        </w:rPr>
        <w:t xml:space="preserve">Laktoza jednowodna </w:t>
      </w:r>
    </w:p>
    <w:p w14:paraId="01833A3B" w14:textId="77777777" w:rsidR="004E3AC5" w:rsidRPr="00BE28C4" w:rsidRDefault="00907ADD">
      <w:pPr>
        <w:spacing w:line="240" w:lineRule="auto"/>
        <w:rPr>
          <w:szCs w:val="22"/>
        </w:rPr>
      </w:pPr>
      <w:proofErr w:type="spellStart"/>
      <w:r w:rsidRPr="00BE28C4">
        <w:rPr>
          <w:szCs w:val="22"/>
        </w:rPr>
        <w:lastRenderedPageBreak/>
        <w:t>Krospowidon</w:t>
      </w:r>
      <w:proofErr w:type="spellEnd"/>
      <w:r w:rsidRPr="00BE28C4">
        <w:rPr>
          <w:szCs w:val="22"/>
        </w:rPr>
        <w:t xml:space="preserve"> typu A</w:t>
      </w:r>
    </w:p>
    <w:p w14:paraId="225D8E3A" w14:textId="77777777" w:rsidR="004E3AC5" w:rsidRPr="00BE28C4" w:rsidRDefault="00907ADD">
      <w:pPr>
        <w:spacing w:line="240" w:lineRule="auto"/>
        <w:rPr>
          <w:szCs w:val="22"/>
        </w:rPr>
      </w:pPr>
      <w:r w:rsidRPr="00BE28C4">
        <w:rPr>
          <w:szCs w:val="22"/>
        </w:rPr>
        <w:t>Lak aluminiowy z indygotyną (E132)</w:t>
      </w:r>
    </w:p>
    <w:p w14:paraId="7A2601AA" w14:textId="77777777" w:rsidR="004E3AC5" w:rsidRPr="00BE28C4" w:rsidRDefault="00907ADD">
      <w:pPr>
        <w:spacing w:line="240" w:lineRule="auto"/>
        <w:rPr>
          <w:szCs w:val="22"/>
        </w:rPr>
      </w:pPr>
      <w:proofErr w:type="spellStart"/>
      <w:r w:rsidRPr="00BE28C4">
        <w:rPr>
          <w:szCs w:val="22"/>
        </w:rPr>
        <w:t>Hypromeloza</w:t>
      </w:r>
      <w:proofErr w:type="spellEnd"/>
    </w:p>
    <w:p w14:paraId="1F1ABDC0" w14:textId="77777777" w:rsidR="004E3AC5" w:rsidRPr="00BE28C4" w:rsidRDefault="00907ADD">
      <w:pPr>
        <w:spacing w:line="240" w:lineRule="auto"/>
        <w:rPr>
          <w:szCs w:val="22"/>
        </w:rPr>
      </w:pPr>
      <w:proofErr w:type="spellStart"/>
      <w:r w:rsidRPr="00BE28C4">
        <w:rPr>
          <w:szCs w:val="22"/>
        </w:rPr>
        <w:t>Disodu</w:t>
      </w:r>
      <w:proofErr w:type="spellEnd"/>
      <w:r w:rsidRPr="00BE28C4">
        <w:rPr>
          <w:szCs w:val="22"/>
        </w:rPr>
        <w:t xml:space="preserve"> </w:t>
      </w:r>
      <w:proofErr w:type="spellStart"/>
      <w:r w:rsidRPr="00BE28C4">
        <w:rPr>
          <w:szCs w:val="22"/>
        </w:rPr>
        <w:t>edetynian</w:t>
      </w:r>
      <w:proofErr w:type="spellEnd"/>
    </w:p>
    <w:p w14:paraId="5FEE28AB" w14:textId="77777777" w:rsidR="004E3AC5" w:rsidRPr="00BE28C4" w:rsidRDefault="00907ADD">
      <w:pPr>
        <w:spacing w:line="240" w:lineRule="auto"/>
        <w:rPr>
          <w:szCs w:val="22"/>
        </w:rPr>
      </w:pPr>
      <w:r w:rsidRPr="00BE28C4">
        <w:rPr>
          <w:szCs w:val="22"/>
        </w:rPr>
        <w:t xml:space="preserve">Krzemionka koloidalna </w:t>
      </w:r>
    </w:p>
    <w:p w14:paraId="4E9B119F" w14:textId="77777777" w:rsidR="004E3AC5" w:rsidRPr="00BE28C4" w:rsidRDefault="004E3AC5">
      <w:pPr>
        <w:spacing w:line="240" w:lineRule="auto"/>
        <w:rPr>
          <w:szCs w:val="22"/>
        </w:rPr>
      </w:pPr>
    </w:p>
    <w:p w14:paraId="2DFFD103" w14:textId="77777777" w:rsidR="004E3AC5" w:rsidRPr="00BE28C4" w:rsidRDefault="00907ADD">
      <w:pPr>
        <w:spacing w:line="240" w:lineRule="auto"/>
        <w:rPr>
          <w:szCs w:val="22"/>
          <w:u w:val="single"/>
        </w:rPr>
      </w:pPr>
      <w:r w:rsidRPr="00BE28C4">
        <w:rPr>
          <w:szCs w:val="22"/>
          <w:u w:val="single"/>
        </w:rPr>
        <w:t>Otoczka tabletki:</w:t>
      </w:r>
    </w:p>
    <w:p w14:paraId="4A02282C" w14:textId="77777777" w:rsidR="004E3AC5" w:rsidRPr="00BE28C4" w:rsidRDefault="00907ADD">
      <w:pPr>
        <w:spacing w:line="240" w:lineRule="auto"/>
        <w:rPr>
          <w:szCs w:val="22"/>
        </w:rPr>
      </w:pPr>
      <w:r w:rsidRPr="00BE28C4">
        <w:rPr>
          <w:szCs w:val="22"/>
        </w:rPr>
        <w:t>Alkohol poliwinylowy</w:t>
      </w:r>
    </w:p>
    <w:p w14:paraId="4FCBEFC8" w14:textId="77777777" w:rsidR="004E3AC5" w:rsidRPr="00BE28C4" w:rsidRDefault="00907ADD">
      <w:pPr>
        <w:spacing w:line="240" w:lineRule="auto"/>
        <w:rPr>
          <w:szCs w:val="22"/>
        </w:rPr>
      </w:pPr>
      <w:r w:rsidRPr="00BE28C4">
        <w:rPr>
          <w:szCs w:val="22"/>
        </w:rPr>
        <w:t>Tytanu dwutlenek (E171)</w:t>
      </w:r>
    </w:p>
    <w:p w14:paraId="5DBAB6A7" w14:textId="77777777" w:rsidR="004E3AC5" w:rsidRPr="00BE28C4" w:rsidRDefault="00907ADD">
      <w:pPr>
        <w:spacing w:line="240" w:lineRule="auto"/>
        <w:rPr>
          <w:szCs w:val="22"/>
        </w:rPr>
      </w:pPr>
      <w:proofErr w:type="spellStart"/>
      <w:r w:rsidRPr="00BE28C4">
        <w:rPr>
          <w:szCs w:val="22"/>
        </w:rPr>
        <w:t>Makrogol</w:t>
      </w:r>
      <w:proofErr w:type="spellEnd"/>
      <w:r w:rsidRPr="00BE28C4">
        <w:rPr>
          <w:szCs w:val="22"/>
        </w:rPr>
        <w:t> (3350)</w:t>
      </w:r>
    </w:p>
    <w:p w14:paraId="5EFE0D31" w14:textId="77777777" w:rsidR="004E3AC5" w:rsidRPr="00BE28C4" w:rsidRDefault="00907ADD">
      <w:pPr>
        <w:spacing w:line="240" w:lineRule="auto"/>
        <w:rPr>
          <w:szCs w:val="22"/>
        </w:rPr>
      </w:pPr>
      <w:r w:rsidRPr="00BE28C4">
        <w:rPr>
          <w:szCs w:val="22"/>
        </w:rPr>
        <w:t>Talk</w:t>
      </w:r>
    </w:p>
    <w:p w14:paraId="534CF98D" w14:textId="77777777" w:rsidR="004E3AC5" w:rsidRPr="00BE28C4" w:rsidRDefault="00907ADD">
      <w:pPr>
        <w:spacing w:line="240" w:lineRule="auto"/>
        <w:rPr>
          <w:szCs w:val="22"/>
        </w:rPr>
      </w:pPr>
      <w:r w:rsidRPr="00BE28C4">
        <w:rPr>
          <w:szCs w:val="22"/>
        </w:rPr>
        <w:t>Lak aluminiowy z indygotyną (E132)</w:t>
      </w:r>
    </w:p>
    <w:p w14:paraId="4B0E6D84" w14:textId="77777777" w:rsidR="004E3AC5" w:rsidRPr="00BE28C4" w:rsidRDefault="004E3AC5">
      <w:pPr>
        <w:spacing w:line="240" w:lineRule="auto"/>
        <w:rPr>
          <w:szCs w:val="22"/>
        </w:rPr>
      </w:pPr>
    </w:p>
    <w:p w14:paraId="038C2BE3" w14:textId="77777777" w:rsidR="004E3AC5" w:rsidRPr="00BE28C4" w:rsidRDefault="00907ADD">
      <w:pPr>
        <w:spacing w:line="240" w:lineRule="auto"/>
        <w:ind w:left="567" w:hanging="567"/>
        <w:outlineLvl w:val="0"/>
        <w:rPr>
          <w:szCs w:val="22"/>
        </w:rPr>
      </w:pPr>
      <w:r w:rsidRPr="00BE28C4">
        <w:rPr>
          <w:b/>
          <w:szCs w:val="22"/>
        </w:rPr>
        <w:t>6.2</w:t>
      </w:r>
      <w:r w:rsidRPr="00BE28C4">
        <w:rPr>
          <w:szCs w:val="22"/>
        </w:rPr>
        <w:tab/>
      </w:r>
      <w:r w:rsidRPr="00BE28C4">
        <w:rPr>
          <w:b/>
          <w:szCs w:val="22"/>
        </w:rPr>
        <w:t>Niezgodności farmaceutyczne</w:t>
      </w:r>
    </w:p>
    <w:p w14:paraId="337C4928" w14:textId="77777777" w:rsidR="004E3AC5" w:rsidRPr="00BE28C4" w:rsidRDefault="004E3AC5">
      <w:pPr>
        <w:spacing w:line="240" w:lineRule="auto"/>
        <w:rPr>
          <w:szCs w:val="22"/>
        </w:rPr>
      </w:pPr>
    </w:p>
    <w:p w14:paraId="420F4505" w14:textId="77777777" w:rsidR="004E3AC5" w:rsidRPr="00BE28C4" w:rsidRDefault="00907ADD">
      <w:pPr>
        <w:spacing w:line="240" w:lineRule="auto"/>
        <w:rPr>
          <w:szCs w:val="22"/>
        </w:rPr>
      </w:pPr>
      <w:r w:rsidRPr="00BE28C4">
        <w:rPr>
          <w:szCs w:val="22"/>
        </w:rPr>
        <w:t>Nie dotyczy.</w:t>
      </w:r>
    </w:p>
    <w:p w14:paraId="5ED7A137" w14:textId="77777777" w:rsidR="004E3AC5" w:rsidRPr="00BE28C4" w:rsidRDefault="004E3AC5">
      <w:pPr>
        <w:spacing w:line="240" w:lineRule="auto"/>
        <w:rPr>
          <w:szCs w:val="22"/>
        </w:rPr>
      </w:pPr>
    </w:p>
    <w:p w14:paraId="11509100" w14:textId="77777777" w:rsidR="004E3AC5" w:rsidRPr="00BE28C4" w:rsidRDefault="00907ADD">
      <w:pPr>
        <w:spacing w:line="240" w:lineRule="auto"/>
        <w:ind w:left="567" w:hanging="567"/>
        <w:outlineLvl w:val="0"/>
        <w:rPr>
          <w:szCs w:val="22"/>
        </w:rPr>
      </w:pPr>
      <w:r w:rsidRPr="00BE28C4">
        <w:rPr>
          <w:b/>
          <w:szCs w:val="22"/>
        </w:rPr>
        <w:t>6.3</w:t>
      </w:r>
      <w:r w:rsidRPr="00BE28C4">
        <w:rPr>
          <w:szCs w:val="22"/>
        </w:rPr>
        <w:tab/>
      </w:r>
      <w:r w:rsidRPr="00BE28C4">
        <w:rPr>
          <w:b/>
          <w:szCs w:val="22"/>
        </w:rPr>
        <w:t>Okres ważności</w:t>
      </w:r>
    </w:p>
    <w:p w14:paraId="5AD7748E" w14:textId="77777777" w:rsidR="004E3AC5" w:rsidRPr="00BE28C4" w:rsidRDefault="004E3AC5">
      <w:pPr>
        <w:spacing w:line="240" w:lineRule="auto"/>
        <w:rPr>
          <w:szCs w:val="22"/>
        </w:rPr>
      </w:pPr>
    </w:p>
    <w:p w14:paraId="169F5756" w14:textId="77777777" w:rsidR="004E3AC5" w:rsidRPr="00BE28C4" w:rsidRDefault="00907ADD">
      <w:pPr>
        <w:spacing w:line="240" w:lineRule="auto"/>
        <w:rPr>
          <w:szCs w:val="22"/>
        </w:rPr>
      </w:pPr>
      <w:r w:rsidRPr="00BE28C4">
        <w:t>30 miesięcy</w:t>
      </w:r>
    </w:p>
    <w:p w14:paraId="79E6395B" w14:textId="77777777" w:rsidR="004E3AC5" w:rsidRPr="00BE28C4" w:rsidRDefault="004E3AC5">
      <w:pPr>
        <w:spacing w:line="240" w:lineRule="auto"/>
        <w:rPr>
          <w:szCs w:val="22"/>
        </w:rPr>
      </w:pPr>
    </w:p>
    <w:p w14:paraId="10336454" w14:textId="77777777" w:rsidR="004E3AC5" w:rsidRPr="00BE28C4" w:rsidRDefault="00907ADD">
      <w:pPr>
        <w:spacing w:line="240" w:lineRule="auto"/>
        <w:ind w:left="567" w:hanging="567"/>
        <w:outlineLvl w:val="0"/>
        <w:rPr>
          <w:b/>
          <w:szCs w:val="22"/>
        </w:rPr>
      </w:pPr>
      <w:r w:rsidRPr="00BE28C4">
        <w:rPr>
          <w:b/>
          <w:szCs w:val="22"/>
        </w:rPr>
        <w:t>6.4</w:t>
      </w:r>
      <w:r w:rsidRPr="00BE28C4">
        <w:rPr>
          <w:szCs w:val="22"/>
        </w:rPr>
        <w:tab/>
      </w:r>
      <w:r w:rsidRPr="00BE28C4">
        <w:rPr>
          <w:b/>
          <w:szCs w:val="22"/>
        </w:rPr>
        <w:t>Specjalne środki ostrożności podczas przechowywania</w:t>
      </w:r>
    </w:p>
    <w:p w14:paraId="1E9C9F31" w14:textId="77777777" w:rsidR="004E3AC5" w:rsidRPr="00BE28C4" w:rsidRDefault="004E3AC5">
      <w:pPr>
        <w:spacing w:line="240" w:lineRule="auto"/>
        <w:outlineLvl w:val="0"/>
        <w:rPr>
          <w:szCs w:val="22"/>
        </w:rPr>
      </w:pPr>
    </w:p>
    <w:p w14:paraId="7993E8DF" w14:textId="77777777" w:rsidR="004E3AC5" w:rsidRPr="00BE28C4" w:rsidRDefault="00907ADD">
      <w:pPr>
        <w:spacing w:line="240" w:lineRule="auto"/>
        <w:outlineLvl w:val="0"/>
        <w:rPr>
          <w:iCs/>
          <w:szCs w:val="22"/>
        </w:rPr>
      </w:pPr>
      <w:r w:rsidRPr="00BE28C4">
        <w:rPr>
          <w:szCs w:val="22"/>
        </w:rPr>
        <w:t>Nie przechowywać w temperaturze powyżej 30ºC.</w:t>
      </w:r>
    </w:p>
    <w:p w14:paraId="3A59BD8E" w14:textId="77777777" w:rsidR="004E3AC5" w:rsidRPr="00BE28C4" w:rsidRDefault="004E3AC5">
      <w:pPr>
        <w:spacing w:line="240" w:lineRule="auto"/>
        <w:rPr>
          <w:szCs w:val="22"/>
        </w:rPr>
      </w:pPr>
    </w:p>
    <w:p w14:paraId="1FC9C4E2" w14:textId="77777777" w:rsidR="004E3AC5" w:rsidRPr="00BE28C4" w:rsidRDefault="00907ADD">
      <w:pPr>
        <w:numPr>
          <w:ilvl w:val="1"/>
          <w:numId w:val="3"/>
        </w:numPr>
        <w:tabs>
          <w:tab w:val="clear" w:pos="570"/>
          <w:tab w:val="left" w:pos="567"/>
        </w:tabs>
        <w:spacing w:line="240" w:lineRule="auto"/>
        <w:outlineLvl w:val="0"/>
        <w:rPr>
          <w:b/>
          <w:szCs w:val="22"/>
        </w:rPr>
      </w:pPr>
      <w:r w:rsidRPr="00BE28C4">
        <w:rPr>
          <w:b/>
          <w:szCs w:val="22"/>
        </w:rPr>
        <w:t>Rodzaj i zawartość opakowania</w:t>
      </w:r>
    </w:p>
    <w:p w14:paraId="1A92D2D8" w14:textId="77777777" w:rsidR="004E3AC5" w:rsidRPr="00BE28C4" w:rsidRDefault="004E3AC5">
      <w:pPr>
        <w:spacing w:line="240" w:lineRule="auto"/>
        <w:ind w:left="570"/>
        <w:outlineLvl w:val="0"/>
        <w:rPr>
          <w:szCs w:val="22"/>
        </w:rPr>
      </w:pPr>
    </w:p>
    <w:p w14:paraId="0DAF598D" w14:textId="77777777" w:rsidR="004E3AC5" w:rsidRPr="00BE28C4" w:rsidRDefault="00907ADD">
      <w:pPr>
        <w:spacing w:line="240" w:lineRule="auto"/>
        <w:outlineLvl w:val="0"/>
        <w:rPr>
          <w:szCs w:val="22"/>
        </w:rPr>
      </w:pPr>
      <w:r w:rsidRPr="00BE28C4">
        <w:rPr>
          <w:szCs w:val="22"/>
        </w:rPr>
        <w:t>Blistry PVC/PCTFE/PVC/Aluminium.</w:t>
      </w:r>
    </w:p>
    <w:p w14:paraId="1B0B28BA" w14:textId="77777777" w:rsidR="004E3AC5" w:rsidRPr="00BE28C4" w:rsidRDefault="00907ADD">
      <w:pPr>
        <w:spacing w:line="240" w:lineRule="auto"/>
        <w:outlineLvl w:val="0"/>
        <w:rPr>
          <w:szCs w:val="22"/>
        </w:rPr>
      </w:pPr>
      <w:r w:rsidRPr="00BE28C4">
        <w:rPr>
          <w:szCs w:val="22"/>
        </w:rPr>
        <w:t>Wielkość opakowania: 28, 112 tabletek.</w:t>
      </w:r>
    </w:p>
    <w:p w14:paraId="16262B62" w14:textId="77777777" w:rsidR="004E3AC5" w:rsidRPr="00BE28C4" w:rsidRDefault="004E3AC5">
      <w:pPr>
        <w:spacing w:line="240" w:lineRule="auto"/>
        <w:rPr>
          <w:szCs w:val="22"/>
        </w:rPr>
      </w:pPr>
    </w:p>
    <w:p w14:paraId="515B10D6" w14:textId="77777777" w:rsidR="004E3AC5" w:rsidRPr="00BE28C4" w:rsidRDefault="00907ADD">
      <w:pPr>
        <w:spacing w:line="240" w:lineRule="auto"/>
        <w:rPr>
          <w:szCs w:val="22"/>
        </w:rPr>
      </w:pPr>
      <w:r w:rsidRPr="00BE28C4">
        <w:t>Nie wszystkie wielkości opakowań muszą znajdować się w obrocie.</w:t>
      </w:r>
    </w:p>
    <w:p w14:paraId="2DA1D176" w14:textId="77777777" w:rsidR="004E3AC5" w:rsidRPr="00BE28C4" w:rsidRDefault="004E3AC5">
      <w:pPr>
        <w:spacing w:line="240" w:lineRule="auto"/>
        <w:rPr>
          <w:szCs w:val="22"/>
        </w:rPr>
      </w:pPr>
    </w:p>
    <w:p w14:paraId="33ED6F0A" w14:textId="77777777" w:rsidR="004E3AC5" w:rsidRPr="00BE28C4" w:rsidRDefault="00907ADD">
      <w:pPr>
        <w:spacing w:line="240" w:lineRule="auto"/>
        <w:ind w:left="567" w:hanging="567"/>
        <w:outlineLvl w:val="0"/>
        <w:rPr>
          <w:szCs w:val="22"/>
        </w:rPr>
      </w:pPr>
      <w:bookmarkStart w:id="7" w:name="OLE_LINK1"/>
      <w:r w:rsidRPr="00BE28C4">
        <w:rPr>
          <w:b/>
          <w:szCs w:val="22"/>
        </w:rPr>
        <w:t>6.6</w:t>
      </w:r>
      <w:r w:rsidRPr="00BE28C4">
        <w:rPr>
          <w:szCs w:val="22"/>
        </w:rPr>
        <w:tab/>
      </w:r>
      <w:r w:rsidRPr="00BE28C4">
        <w:rPr>
          <w:b/>
          <w:szCs w:val="22"/>
        </w:rPr>
        <w:t xml:space="preserve">Specjalne środki ostrożności dotyczące usuwania </w:t>
      </w:r>
    </w:p>
    <w:p w14:paraId="36C99DF0" w14:textId="77777777" w:rsidR="004E3AC5" w:rsidRPr="00BE28C4" w:rsidRDefault="004E3AC5">
      <w:pPr>
        <w:spacing w:line="240" w:lineRule="auto"/>
        <w:rPr>
          <w:szCs w:val="22"/>
        </w:rPr>
      </w:pPr>
    </w:p>
    <w:p w14:paraId="6FBCC8B7" w14:textId="77777777" w:rsidR="004E3AC5" w:rsidRPr="00BE28C4" w:rsidRDefault="00907ADD">
      <w:pPr>
        <w:spacing w:line="240" w:lineRule="auto"/>
        <w:rPr>
          <w:szCs w:val="22"/>
        </w:rPr>
      </w:pPr>
      <w:r w:rsidRPr="00BE28C4">
        <w:rPr>
          <w:szCs w:val="22"/>
        </w:rPr>
        <w:t>Brak szczególnych wymagań.</w:t>
      </w:r>
      <w:bookmarkEnd w:id="7"/>
    </w:p>
    <w:p w14:paraId="386D0E17" w14:textId="77777777" w:rsidR="004E3AC5" w:rsidRPr="00BE28C4" w:rsidRDefault="004E3AC5">
      <w:pPr>
        <w:spacing w:line="240" w:lineRule="auto"/>
        <w:rPr>
          <w:szCs w:val="22"/>
        </w:rPr>
      </w:pPr>
    </w:p>
    <w:p w14:paraId="4AC25AB4" w14:textId="77777777" w:rsidR="004E3AC5" w:rsidRPr="00BE28C4" w:rsidRDefault="004E3AC5">
      <w:pPr>
        <w:spacing w:line="240" w:lineRule="auto"/>
        <w:rPr>
          <w:szCs w:val="22"/>
        </w:rPr>
      </w:pPr>
    </w:p>
    <w:p w14:paraId="1D1E76C5" w14:textId="77777777" w:rsidR="004E3AC5" w:rsidRPr="00BE28C4" w:rsidRDefault="00907ADD">
      <w:pPr>
        <w:spacing w:line="240" w:lineRule="auto"/>
        <w:ind w:left="567" w:hanging="567"/>
        <w:rPr>
          <w:szCs w:val="22"/>
        </w:rPr>
      </w:pPr>
      <w:r w:rsidRPr="00BE28C4">
        <w:rPr>
          <w:b/>
          <w:szCs w:val="22"/>
        </w:rPr>
        <w:t>7.</w:t>
      </w:r>
      <w:r w:rsidRPr="00BE28C4">
        <w:rPr>
          <w:szCs w:val="22"/>
        </w:rPr>
        <w:tab/>
      </w:r>
      <w:r w:rsidRPr="00BE28C4">
        <w:rPr>
          <w:b/>
          <w:szCs w:val="22"/>
        </w:rPr>
        <w:t>PODMIOT ODPOWIEDZIALNY POSIADAJĄCY POZWOLENIE NA DOPUSZCZENIE DO OBROTU</w:t>
      </w:r>
    </w:p>
    <w:p w14:paraId="34BF3311" w14:textId="77777777" w:rsidR="004E3AC5" w:rsidRPr="00BE28C4" w:rsidRDefault="004E3AC5">
      <w:pPr>
        <w:spacing w:line="240" w:lineRule="auto"/>
        <w:rPr>
          <w:szCs w:val="22"/>
        </w:rPr>
      </w:pPr>
    </w:p>
    <w:p w14:paraId="0CC85A66" w14:textId="77777777" w:rsidR="00DF10B6" w:rsidRPr="00B17649" w:rsidRDefault="00DF10B6" w:rsidP="00DF10B6">
      <w:pPr>
        <w:numPr>
          <w:ilvl w:val="12"/>
          <w:numId w:val="0"/>
        </w:numPr>
        <w:tabs>
          <w:tab w:val="left" w:pos="708"/>
        </w:tabs>
        <w:spacing w:line="240" w:lineRule="auto"/>
        <w:ind w:right="-2"/>
        <w:rPr>
          <w:szCs w:val="22"/>
          <w:lang w:val="en-US"/>
        </w:rPr>
      </w:pPr>
      <w:proofErr w:type="spellStart"/>
      <w:r w:rsidRPr="00B17649">
        <w:rPr>
          <w:lang w:val="en-US"/>
        </w:rPr>
        <w:t>Orexigen</w:t>
      </w:r>
      <w:proofErr w:type="spellEnd"/>
      <w:r w:rsidRPr="00B17649">
        <w:rPr>
          <w:lang w:val="en-US"/>
        </w:rPr>
        <w:t xml:space="preserve"> Therapeutics Ireland Limited</w:t>
      </w:r>
      <w:r w:rsidRPr="00B17649">
        <w:rPr>
          <w:lang w:val="en-US"/>
        </w:rPr>
        <w:br/>
        <w:t>9-10 Fenian Street,</w:t>
      </w:r>
      <w:r w:rsidRPr="00B17649">
        <w:rPr>
          <w:lang w:val="en-US"/>
        </w:rPr>
        <w:br/>
        <w:t>Dublin 2, </w:t>
      </w:r>
      <w:r w:rsidRPr="00B17649">
        <w:rPr>
          <w:lang w:val="en-US"/>
        </w:rPr>
        <w:br/>
        <w:t>D02 RX24</w:t>
      </w:r>
      <w:r w:rsidRPr="00B17649">
        <w:rPr>
          <w:lang w:val="en-US"/>
        </w:rPr>
        <w:br/>
      </w:r>
      <w:proofErr w:type="spellStart"/>
      <w:r w:rsidRPr="00B17649">
        <w:rPr>
          <w:szCs w:val="22"/>
          <w:lang w:val="en-US"/>
        </w:rPr>
        <w:t>Irlandia</w:t>
      </w:r>
      <w:proofErr w:type="spellEnd"/>
    </w:p>
    <w:p w14:paraId="223FD1F6" w14:textId="77777777" w:rsidR="004E3AC5" w:rsidRPr="00B17649" w:rsidRDefault="004E3AC5">
      <w:pPr>
        <w:spacing w:line="240" w:lineRule="auto"/>
        <w:rPr>
          <w:szCs w:val="22"/>
          <w:lang w:val="en-US"/>
        </w:rPr>
      </w:pPr>
    </w:p>
    <w:p w14:paraId="05668172" w14:textId="77777777" w:rsidR="004E3AC5" w:rsidRPr="00B17649" w:rsidRDefault="004E3AC5">
      <w:pPr>
        <w:spacing w:line="240" w:lineRule="auto"/>
        <w:rPr>
          <w:szCs w:val="22"/>
          <w:lang w:val="en-US"/>
        </w:rPr>
      </w:pPr>
    </w:p>
    <w:p w14:paraId="488092EF" w14:textId="77777777" w:rsidR="004E3AC5" w:rsidRPr="00BE28C4" w:rsidRDefault="00907ADD">
      <w:pPr>
        <w:spacing w:line="240" w:lineRule="auto"/>
        <w:ind w:left="567" w:hanging="567"/>
        <w:rPr>
          <w:b/>
          <w:szCs w:val="22"/>
        </w:rPr>
      </w:pPr>
      <w:r w:rsidRPr="00BE28C4">
        <w:rPr>
          <w:b/>
          <w:szCs w:val="22"/>
        </w:rPr>
        <w:t>8.</w:t>
      </w:r>
      <w:r w:rsidRPr="00BE28C4">
        <w:rPr>
          <w:szCs w:val="22"/>
        </w:rPr>
        <w:tab/>
      </w:r>
      <w:r w:rsidRPr="00BE28C4">
        <w:rPr>
          <w:b/>
          <w:szCs w:val="22"/>
        </w:rPr>
        <w:t xml:space="preserve">NUMER POZWOLENIA NA DOPUSZCZENIE DO OBROTU </w:t>
      </w:r>
    </w:p>
    <w:p w14:paraId="0791AE39" w14:textId="77777777" w:rsidR="004E3AC5" w:rsidRPr="00BE28C4" w:rsidRDefault="004E3AC5">
      <w:pPr>
        <w:spacing w:line="240" w:lineRule="auto"/>
        <w:rPr>
          <w:szCs w:val="22"/>
        </w:rPr>
      </w:pPr>
    </w:p>
    <w:p w14:paraId="7AD57A8C" w14:textId="77777777" w:rsidR="004E3AC5" w:rsidRPr="00BE28C4" w:rsidRDefault="00907ADD">
      <w:pPr>
        <w:suppressLineNumbers/>
        <w:spacing w:line="240" w:lineRule="auto"/>
        <w:outlineLvl w:val="0"/>
        <w:rPr>
          <w:szCs w:val="22"/>
        </w:rPr>
      </w:pPr>
      <w:r w:rsidRPr="00BE28C4">
        <w:rPr>
          <w:szCs w:val="22"/>
        </w:rPr>
        <w:t>EU/1/14/988/001-002 </w:t>
      </w:r>
    </w:p>
    <w:p w14:paraId="6ACB55C0" w14:textId="77777777" w:rsidR="004E3AC5" w:rsidRPr="00BE28C4" w:rsidRDefault="004E3AC5">
      <w:pPr>
        <w:suppressLineNumbers/>
        <w:spacing w:line="240" w:lineRule="auto"/>
        <w:outlineLvl w:val="0"/>
        <w:rPr>
          <w:szCs w:val="22"/>
        </w:rPr>
      </w:pPr>
    </w:p>
    <w:p w14:paraId="15A5A18F" w14:textId="77777777" w:rsidR="004E3AC5" w:rsidRPr="00BE28C4" w:rsidRDefault="004E3AC5">
      <w:pPr>
        <w:suppressLineNumbers/>
        <w:spacing w:line="240" w:lineRule="auto"/>
        <w:outlineLvl w:val="0"/>
        <w:rPr>
          <w:szCs w:val="22"/>
        </w:rPr>
      </w:pPr>
    </w:p>
    <w:p w14:paraId="0E33B9B4" w14:textId="77777777" w:rsidR="004E3AC5" w:rsidRPr="00BE28C4" w:rsidRDefault="00907ADD">
      <w:pPr>
        <w:spacing w:line="240" w:lineRule="auto"/>
        <w:ind w:left="567" w:hanging="567"/>
        <w:rPr>
          <w:szCs w:val="22"/>
        </w:rPr>
      </w:pPr>
      <w:r w:rsidRPr="00BE28C4">
        <w:rPr>
          <w:b/>
          <w:szCs w:val="22"/>
        </w:rPr>
        <w:t>9.</w:t>
      </w:r>
      <w:r w:rsidRPr="00BE28C4">
        <w:rPr>
          <w:szCs w:val="22"/>
        </w:rPr>
        <w:tab/>
      </w:r>
      <w:r w:rsidRPr="00BE28C4">
        <w:rPr>
          <w:b/>
          <w:szCs w:val="22"/>
        </w:rPr>
        <w:t>DATA WYDANIA PIERWSZEGO POZWOLENIA NA DOPUSZCZENIE DO OBROTU I DATA PRZEDŁUŻENIA POZWOLENIA</w:t>
      </w:r>
    </w:p>
    <w:p w14:paraId="7167DE31" w14:textId="77777777" w:rsidR="004E3AC5" w:rsidRPr="00BE28C4" w:rsidRDefault="004E3AC5">
      <w:pPr>
        <w:spacing w:line="240" w:lineRule="auto"/>
        <w:rPr>
          <w:i/>
          <w:szCs w:val="22"/>
        </w:rPr>
      </w:pPr>
    </w:p>
    <w:p w14:paraId="38C3F9A8" w14:textId="77777777" w:rsidR="004E3AC5" w:rsidRPr="00BE28C4" w:rsidRDefault="00907ADD">
      <w:pPr>
        <w:spacing w:line="240" w:lineRule="auto"/>
        <w:rPr>
          <w:i/>
          <w:szCs w:val="22"/>
        </w:rPr>
      </w:pPr>
      <w:r w:rsidRPr="00BE28C4">
        <w:rPr>
          <w:szCs w:val="22"/>
        </w:rPr>
        <w:t>Data wydania pierwszego pozwolenia na dopuszczenie do obrotu: 26 marca 2015</w:t>
      </w:r>
    </w:p>
    <w:p w14:paraId="514D859C" w14:textId="77777777" w:rsidR="004E3AC5" w:rsidRPr="00BE28C4" w:rsidRDefault="00907ADD">
      <w:pPr>
        <w:spacing w:line="240" w:lineRule="auto"/>
        <w:rPr>
          <w:szCs w:val="22"/>
        </w:rPr>
      </w:pPr>
      <w:r w:rsidRPr="00BE28C4">
        <w:rPr>
          <w:szCs w:val="22"/>
        </w:rPr>
        <w:t>Data ostatniej aktualizacji: 16 stycznia 2020</w:t>
      </w:r>
    </w:p>
    <w:p w14:paraId="260B9AE0" w14:textId="77777777" w:rsidR="004E3AC5" w:rsidRPr="00BE28C4" w:rsidRDefault="004E3AC5">
      <w:pPr>
        <w:spacing w:line="240" w:lineRule="auto"/>
        <w:rPr>
          <w:szCs w:val="22"/>
        </w:rPr>
      </w:pPr>
    </w:p>
    <w:p w14:paraId="264137C0" w14:textId="77777777" w:rsidR="004E3AC5" w:rsidRPr="00BE28C4" w:rsidRDefault="00907ADD">
      <w:pPr>
        <w:spacing w:line="240" w:lineRule="auto"/>
        <w:ind w:left="567" w:hanging="567"/>
        <w:rPr>
          <w:b/>
          <w:szCs w:val="22"/>
        </w:rPr>
      </w:pPr>
      <w:r w:rsidRPr="00BE28C4">
        <w:rPr>
          <w:b/>
          <w:szCs w:val="22"/>
        </w:rPr>
        <w:t>10.</w:t>
      </w:r>
      <w:r w:rsidRPr="00BE28C4">
        <w:rPr>
          <w:szCs w:val="22"/>
        </w:rPr>
        <w:tab/>
      </w:r>
      <w:r w:rsidRPr="00BE28C4">
        <w:rPr>
          <w:b/>
          <w:szCs w:val="22"/>
        </w:rPr>
        <w:t>DATA ZATWIERDZENIA LUB CZĘŚCIOWEJ ZMIANY TEKSTU CHARAKTERYSTYKI PRODUKTU LECZNICZEGO</w:t>
      </w:r>
    </w:p>
    <w:p w14:paraId="2F049951" w14:textId="77777777" w:rsidR="004E3AC5" w:rsidRPr="00BE28C4" w:rsidRDefault="004E3AC5">
      <w:pPr>
        <w:spacing w:line="240" w:lineRule="auto"/>
        <w:rPr>
          <w:szCs w:val="22"/>
        </w:rPr>
      </w:pPr>
    </w:p>
    <w:p w14:paraId="5E7A86B9" w14:textId="77777777" w:rsidR="004E3AC5" w:rsidRPr="00BE28C4" w:rsidRDefault="00907ADD">
      <w:pPr>
        <w:numPr>
          <w:ilvl w:val="12"/>
          <w:numId w:val="0"/>
        </w:numPr>
        <w:spacing w:line="240" w:lineRule="auto"/>
        <w:ind w:right="-2"/>
        <w:rPr>
          <w:szCs w:val="22"/>
        </w:rPr>
      </w:pPr>
      <w:r w:rsidRPr="00BE28C4">
        <w:rPr>
          <w:szCs w:val="22"/>
        </w:rPr>
        <w:t xml:space="preserve">Szczegółowe informacje o tym produkcie są dostępne na stronie internetowej Europejskiej Agencji Leków </w:t>
      </w:r>
      <w:hyperlink r:id="rId12">
        <w:r w:rsidRPr="00BE28C4">
          <w:rPr>
            <w:rStyle w:val="Hipercze"/>
            <w:color w:val="auto"/>
            <w:szCs w:val="22"/>
          </w:rPr>
          <w:t>http://www.ema.europa.eu</w:t>
        </w:r>
      </w:hyperlink>
      <w:r w:rsidRPr="00BE28C4">
        <w:rPr>
          <w:szCs w:val="22"/>
        </w:rPr>
        <w:t>.</w:t>
      </w:r>
    </w:p>
    <w:p w14:paraId="1D8F604B" w14:textId="72023CD8" w:rsidR="004E3AC5" w:rsidRPr="00BE28C4" w:rsidRDefault="004E3AC5">
      <w:pPr>
        <w:spacing w:line="240" w:lineRule="auto"/>
        <w:rPr>
          <w:szCs w:val="22"/>
        </w:rPr>
      </w:pPr>
    </w:p>
    <w:sectPr w:rsidR="004E3AC5" w:rsidRPr="00BE28C4" w:rsidSect="003D2C15">
      <w:endnotePr>
        <w:numFmt w:val="decimal"/>
      </w:endnotePr>
      <w:pgSz w:w="11907" w:h="16840" w:code="9"/>
      <w:pgMar w:top="1134" w:right="1417" w:bottom="1134" w:left="1417" w:header="73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D31D" w14:textId="77777777" w:rsidR="0039799D" w:rsidRDefault="0039799D">
      <w:r>
        <w:separator/>
      </w:r>
    </w:p>
  </w:endnote>
  <w:endnote w:type="continuationSeparator" w:id="0">
    <w:p w14:paraId="07C72693" w14:textId="77777777" w:rsidR="0039799D" w:rsidRDefault="0039799D">
      <w:r>
        <w:continuationSeparator/>
      </w:r>
    </w:p>
  </w:endnote>
  <w:endnote w:type="continuationNotice" w:id="1">
    <w:p w14:paraId="1DCCAF24" w14:textId="77777777" w:rsidR="0039799D" w:rsidRDefault="003979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2A06" w14:textId="111AC6BE" w:rsidR="00221A4F" w:rsidRDefault="00221A4F">
    <w:pPr>
      <w:pStyle w:val="Stopka"/>
      <w:tabs>
        <w:tab w:val="clear" w:pos="8930"/>
        <w:tab w:val="right" w:pos="8931"/>
      </w:tabs>
      <w:ind w:right="96"/>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1E2F02">
      <w:rPr>
        <w:rFonts w:ascii="Arial" w:hAnsi="Arial" w:cs="Arial"/>
        <w:noProof/>
      </w:rPr>
      <w:t>2</w:t>
    </w:r>
    <w:r>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250B" w14:textId="04FDED94" w:rsidR="00221A4F" w:rsidRDefault="00221A4F">
    <w:pPr>
      <w:pStyle w:val="Stopka"/>
      <w:tabs>
        <w:tab w:val="clear" w:pos="8930"/>
        <w:tab w:val="right" w:pos="8931"/>
      </w:tabs>
      <w:ind w:right="96"/>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1E2F02">
      <w:rPr>
        <w:rFonts w:ascii="Arial" w:hAnsi="Arial" w:cs="Arial"/>
        <w:noProof/>
      </w:rPr>
      <w:t>1</w:t>
    </w:r>
    <w:r>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75D5" w14:textId="77777777" w:rsidR="0039799D" w:rsidRDefault="0039799D">
      <w:r>
        <w:separator/>
      </w:r>
    </w:p>
  </w:footnote>
  <w:footnote w:type="continuationSeparator" w:id="0">
    <w:p w14:paraId="014329B6" w14:textId="77777777" w:rsidR="0039799D" w:rsidRDefault="0039799D">
      <w:r>
        <w:continuationSeparator/>
      </w:r>
    </w:p>
  </w:footnote>
  <w:footnote w:type="continuationNotice" w:id="1">
    <w:p w14:paraId="0FFB91C7" w14:textId="77777777" w:rsidR="0039799D" w:rsidRDefault="0039799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T_1000x858px" style="width:15.75pt;height:15.75pt;visibility:visible;mso-wrap-style:square" o:bullet="t">
        <v:imagedata r:id="rId1" o:title="BT_1000x858px"/>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C1E79"/>
    <w:multiLevelType w:val="hybridMultilevel"/>
    <w:tmpl w:val="BD36577A"/>
    <w:lvl w:ilvl="0" w:tplc="2CAAF004">
      <w:start w:val="1"/>
      <w:numFmt w:val="bullet"/>
      <w:lvlText w:val=""/>
      <w:lvlJc w:val="left"/>
      <w:pPr>
        <w:ind w:left="720" w:hanging="360"/>
      </w:pPr>
      <w:rPr>
        <w:rFonts w:ascii="Symbol" w:hAnsi="Symbol" w:hint="default"/>
      </w:rPr>
    </w:lvl>
    <w:lvl w:ilvl="1" w:tplc="82BA7C14" w:tentative="1">
      <w:start w:val="1"/>
      <w:numFmt w:val="bullet"/>
      <w:lvlText w:val="o"/>
      <w:lvlJc w:val="left"/>
      <w:pPr>
        <w:ind w:left="1440" w:hanging="360"/>
      </w:pPr>
      <w:rPr>
        <w:rFonts w:ascii="Courier New" w:hAnsi="Courier New" w:cs="Courier New" w:hint="default"/>
      </w:rPr>
    </w:lvl>
    <w:lvl w:ilvl="2" w:tplc="A36A90CC" w:tentative="1">
      <w:start w:val="1"/>
      <w:numFmt w:val="bullet"/>
      <w:lvlText w:val=""/>
      <w:lvlJc w:val="left"/>
      <w:pPr>
        <w:ind w:left="2160" w:hanging="360"/>
      </w:pPr>
      <w:rPr>
        <w:rFonts w:ascii="Wingdings" w:hAnsi="Wingdings" w:hint="default"/>
      </w:rPr>
    </w:lvl>
    <w:lvl w:ilvl="3" w:tplc="8D98845C" w:tentative="1">
      <w:start w:val="1"/>
      <w:numFmt w:val="bullet"/>
      <w:lvlText w:val=""/>
      <w:lvlJc w:val="left"/>
      <w:pPr>
        <w:ind w:left="2880" w:hanging="360"/>
      </w:pPr>
      <w:rPr>
        <w:rFonts w:ascii="Symbol" w:hAnsi="Symbol" w:hint="default"/>
      </w:rPr>
    </w:lvl>
    <w:lvl w:ilvl="4" w:tplc="4BF211BC" w:tentative="1">
      <w:start w:val="1"/>
      <w:numFmt w:val="bullet"/>
      <w:lvlText w:val="o"/>
      <w:lvlJc w:val="left"/>
      <w:pPr>
        <w:ind w:left="3600" w:hanging="360"/>
      </w:pPr>
      <w:rPr>
        <w:rFonts w:ascii="Courier New" w:hAnsi="Courier New" w:cs="Courier New" w:hint="default"/>
      </w:rPr>
    </w:lvl>
    <w:lvl w:ilvl="5" w:tplc="D684FE0A" w:tentative="1">
      <w:start w:val="1"/>
      <w:numFmt w:val="bullet"/>
      <w:lvlText w:val=""/>
      <w:lvlJc w:val="left"/>
      <w:pPr>
        <w:ind w:left="4320" w:hanging="360"/>
      </w:pPr>
      <w:rPr>
        <w:rFonts w:ascii="Wingdings" w:hAnsi="Wingdings" w:hint="default"/>
      </w:rPr>
    </w:lvl>
    <w:lvl w:ilvl="6" w:tplc="5D04CBD2" w:tentative="1">
      <w:start w:val="1"/>
      <w:numFmt w:val="bullet"/>
      <w:lvlText w:val=""/>
      <w:lvlJc w:val="left"/>
      <w:pPr>
        <w:ind w:left="5040" w:hanging="360"/>
      </w:pPr>
      <w:rPr>
        <w:rFonts w:ascii="Symbol" w:hAnsi="Symbol" w:hint="default"/>
      </w:rPr>
    </w:lvl>
    <w:lvl w:ilvl="7" w:tplc="AFD6320E" w:tentative="1">
      <w:start w:val="1"/>
      <w:numFmt w:val="bullet"/>
      <w:lvlText w:val="o"/>
      <w:lvlJc w:val="left"/>
      <w:pPr>
        <w:ind w:left="5760" w:hanging="360"/>
      </w:pPr>
      <w:rPr>
        <w:rFonts w:ascii="Courier New" w:hAnsi="Courier New" w:cs="Courier New" w:hint="default"/>
      </w:rPr>
    </w:lvl>
    <w:lvl w:ilvl="8" w:tplc="ADCCE5C2" w:tentative="1">
      <w:start w:val="1"/>
      <w:numFmt w:val="bullet"/>
      <w:lvlText w:val=""/>
      <w:lvlJc w:val="left"/>
      <w:pPr>
        <w:ind w:left="6480" w:hanging="360"/>
      </w:pPr>
      <w:rPr>
        <w:rFonts w:ascii="Wingdings" w:hAnsi="Wingdings" w:hint="default"/>
      </w:rPr>
    </w:lvl>
  </w:abstractNum>
  <w:abstractNum w:abstractNumId="2" w15:restartNumberingAfterBreak="0">
    <w:nsid w:val="084C0B2C"/>
    <w:multiLevelType w:val="hybridMultilevel"/>
    <w:tmpl w:val="6F80EF68"/>
    <w:lvl w:ilvl="0" w:tplc="2952A578">
      <w:start w:val="1"/>
      <w:numFmt w:val="bullet"/>
      <w:lvlText w:val=""/>
      <w:lvlJc w:val="left"/>
      <w:pPr>
        <w:ind w:left="720" w:hanging="360"/>
      </w:pPr>
      <w:rPr>
        <w:rFonts w:ascii="Symbol" w:hAnsi="Symbol" w:hint="default"/>
      </w:rPr>
    </w:lvl>
    <w:lvl w:ilvl="1" w:tplc="87740E2E" w:tentative="1">
      <w:start w:val="1"/>
      <w:numFmt w:val="bullet"/>
      <w:lvlText w:val="o"/>
      <w:lvlJc w:val="left"/>
      <w:pPr>
        <w:ind w:left="1440" w:hanging="360"/>
      </w:pPr>
      <w:rPr>
        <w:rFonts w:ascii="Courier New" w:hAnsi="Courier New" w:hint="default"/>
      </w:rPr>
    </w:lvl>
    <w:lvl w:ilvl="2" w:tplc="477E0D5C" w:tentative="1">
      <w:start w:val="1"/>
      <w:numFmt w:val="bullet"/>
      <w:lvlText w:val=""/>
      <w:lvlJc w:val="left"/>
      <w:pPr>
        <w:ind w:left="2160" w:hanging="360"/>
      </w:pPr>
      <w:rPr>
        <w:rFonts w:ascii="Wingdings" w:hAnsi="Wingdings" w:hint="default"/>
      </w:rPr>
    </w:lvl>
    <w:lvl w:ilvl="3" w:tplc="BFA23584" w:tentative="1">
      <w:start w:val="1"/>
      <w:numFmt w:val="bullet"/>
      <w:lvlText w:val=""/>
      <w:lvlJc w:val="left"/>
      <w:pPr>
        <w:ind w:left="2880" w:hanging="360"/>
      </w:pPr>
      <w:rPr>
        <w:rFonts w:ascii="Symbol" w:hAnsi="Symbol" w:hint="default"/>
      </w:rPr>
    </w:lvl>
    <w:lvl w:ilvl="4" w:tplc="7B12C0D6" w:tentative="1">
      <w:start w:val="1"/>
      <w:numFmt w:val="bullet"/>
      <w:lvlText w:val="o"/>
      <w:lvlJc w:val="left"/>
      <w:pPr>
        <w:ind w:left="3600" w:hanging="360"/>
      </w:pPr>
      <w:rPr>
        <w:rFonts w:ascii="Courier New" w:hAnsi="Courier New" w:hint="default"/>
      </w:rPr>
    </w:lvl>
    <w:lvl w:ilvl="5" w:tplc="5B78751E" w:tentative="1">
      <w:start w:val="1"/>
      <w:numFmt w:val="bullet"/>
      <w:lvlText w:val=""/>
      <w:lvlJc w:val="left"/>
      <w:pPr>
        <w:ind w:left="4320" w:hanging="360"/>
      </w:pPr>
      <w:rPr>
        <w:rFonts w:ascii="Wingdings" w:hAnsi="Wingdings" w:hint="default"/>
      </w:rPr>
    </w:lvl>
    <w:lvl w:ilvl="6" w:tplc="664E3F0C" w:tentative="1">
      <w:start w:val="1"/>
      <w:numFmt w:val="bullet"/>
      <w:lvlText w:val=""/>
      <w:lvlJc w:val="left"/>
      <w:pPr>
        <w:ind w:left="5040" w:hanging="360"/>
      </w:pPr>
      <w:rPr>
        <w:rFonts w:ascii="Symbol" w:hAnsi="Symbol" w:hint="default"/>
      </w:rPr>
    </w:lvl>
    <w:lvl w:ilvl="7" w:tplc="3A427E8C" w:tentative="1">
      <w:start w:val="1"/>
      <w:numFmt w:val="bullet"/>
      <w:lvlText w:val="o"/>
      <w:lvlJc w:val="left"/>
      <w:pPr>
        <w:ind w:left="5760" w:hanging="360"/>
      </w:pPr>
      <w:rPr>
        <w:rFonts w:ascii="Courier New" w:hAnsi="Courier New" w:hint="default"/>
      </w:rPr>
    </w:lvl>
    <w:lvl w:ilvl="8" w:tplc="21808226" w:tentative="1">
      <w:start w:val="1"/>
      <w:numFmt w:val="bullet"/>
      <w:lvlText w:val=""/>
      <w:lvlJc w:val="left"/>
      <w:pPr>
        <w:ind w:left="6480" w:hanging="360"/>
      </w:pPr>
      <w:rPr>
        <w:rFonts w:ascii="Wingdings" w:hAnsi="Wingdings" w:hint="default"/>
      </w:rPr>
    </w:lvl>
  </w:abstractNum>
  <w:abstractNum w:abstractNumId="3" w15:restartNumberingAfterBreak="0">
    <w:nsid w:val="13253279"/>
    <w:multiLevelType w:val="hybridMultilevel"/>
    <w:tmpl w:val="1A581CF8"/>
    <w:lvl w:ilvl="0" w:tplc="20B057E6">
      <w:start w:val="1"/>
      <w:numFmt w:val="bullet"/>
      <w:lvlText w:val=""/>
      <w:lvlJc w:val="left"/>
      <w:pPr>
        <w:tabs>
          <w:tab w:val="num" w:pos="720"/>
        </w:tabs>
        <w:ind w:left="720" w:hanging="360"/>
      </w:pPr>
      <w:rPr>
        <w:rFonts w:ascii="Symbol" w:hAnsi="Symbol" w:hint="default"/>
        <w:color w:val="auto"/>
      </w:rPr>
    </w:lvl>
    <w:lvl w:ilvl="1" w:tplc="AE0EF7BA" w:tentative="1">
      <w:start w:val="1"/>
      <w:numFmt w:val="bullet"/>
      <w:lvlText w:val="o"/>
      <w:lvlJc w:val="left"/>
      <w:pPr>
        <w:tabs>
          <w:tab w:val="num" w:pos="1440"/>
        </w:tabs>
        <w:ind w:left="1440" w:hanging="360"/>
      </w:pPr>
      <w:rPr>
        <w:rFonts w:ascii="Courier New" w:hAnsi="Courier New" w:hint="default"/>
      </w:rPr>
    </w:lvl>
    <w:lvl w:ilvl="2" w:tplc="24867496" w:tentative="1">
      <w:start w:val="1"/>
      <w:numFmt w:val="bullet"/>
      <w:lvlText w:val=""/>
      <w:lvlJc w:val="left"/>
      <w:pPr>
        <w:tabs>
          <w:tab w:val="num" w:pos="2160"/>
        </w:tabs>
        <w:ind w:left="2160" w:hanging="360"/>
      </w:pPr>
      <w:rPr>
        <w:rFonts w:ascii="Wingdings" w:hAnsi="Wingdings" w:hint="default"/>
      </w:rPr>
    </w:lvl>
    <w:lvl w:ilvl="3" w:tplc="FC167EFA" w:tentative="1">
      <w:start w:val="1"/>
      <w:numFmt w:val="bullet"/>
      <w:lvlText w:val=""/>
      <w:lvlJc w:val="left"/>
      <w:pPr>
        <w:tabs>
          <w:tab w:val="num" w:pos="2880"/>
        </w:tabs>
        <w:ind w:left="2880" w:hanging="360"/>
      </w:pPr>
      <w:rPr>
        <w:rFonts w:ascii="Symbol" w:hAnsi="Symbol" w:hint="default"/>
      </w:rPr>
    </w:lvl>
    <w:lvl w:ilvl="4" w:tplc="AFB07CA4" w:tentative="1">
      <w:start w:val="1"/>
      <w:numFmt w:val="bullet"/>
      <w:lvlText w:val="o"/>
      <w:lvlJc w:val="left"/>
      <w:pPr>
        <w:tabs>
          <w:tab w:val="num" w:pos="3600"/>
        </w:tabs>
        <w:ind w:left="3600" w:hanging="360"/>
      </w:pPr>
      <w:rPr>
        <w:rFonts w:ascii="Courier New" w:hAnsi="Courier New" w:hint="default"/>
      </w:rPr>
    </w:lvl>
    <w:lvl w:ilvl="5" w:tplc="3104C74E" w:tentative="1">
      <w:start w:val="1"/>
      <w:numFmt w:val="bullet"/>
      <w:lvlText w:val=""/>
      <w:lvlJc w:val="left"/>
      <w:pPr>
        <w:tabs>
          <w:tab w:val="num" w:pos="4320"/>
        </w:tabs>
        <w:ind w:left="4320" w:hanging="360"/>
      </w:pPr>
      <w:rPr>
        <w:rFonts w:ascii="Wingdings" w:hAnsi="Wingdings" w:hint="default"/>
      </w:rPr>
    </w:lvl>
    <w:lvl w:ilvl="6" w:tplc="813667DA" w:tentative="1">
      <w:start w:val="1"/>
      <w:numFmt w:val="bullet"/>
      <w:lvlText w:val=""/>
      <w:lvlJc w:val="left"/>
      <w:pPr>
        <w:tabs>
          <w:tab w:val="num" w:pos="5040"/>
        </w:tabs>
        <w:ind w:left="5040" w:hanging="360"/>
      </w:pPr>
      <w:rPr>
        <w:rFonts w:ascii="Symbol" w:hAnsi="Symbol" w:hint="default"/>
      </w:rPr>
    </w:lvl>
    <w:lvl w:ilvl="7" w:tplc="8D764CA8" w:tentative="1">
      <w:start w:val="1"/>
      <w:numFmt w:val="bullet"/>
      <w:lvlText w:val="o"/>
      <w:lvlJc w:val="left"/>
      <w:pPr>
        <w:tabs>
          <w:tab w:val="num" w:pos="5760"/>
        </w:tabs>
        <w:ind w:left="5760" w:hanging="360"/>
      </w:pPr>
      <w:rPr>
        <w:rFonts w:ascii="Courier New" w:hAnsi="Courier New" w:hint="default"/>
      </w:rPr>
    </w:lvl>
    <w:lvl w:ilvl="8" w:tplc="283A838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03850"/>
    <w:multiLevelType w:val="hybridMultilevel"/>
    <w:tmpl w:val="CE0C2820"/>
    <w:lvl w:ilvl="0" w:tplc="8B3A9AAA">
      <w:start w:val="1"/>
      <w:numFmt w:val="bullet"/>
      <w:lvlText w:val=""/>
      <w:lvlJc w:val="left"/>
      <w:pPr>
        <w:ind w:left="720" w:hanging="360"/>
      </w:pPr>
      <w:rPr>
        <w:rFonts w:ascii="Symbol" w:hAnsi="Symbol" w:hint="default"/>
      </w:rPr>
    </w:lvl>
    <w:lvl w:ilvl="1" w:tplc="1ABE2F02">
      <w:start w:val="1"/>
      <w:numFmt w:val="bullet"/>
      <w:lvlText w:val="o"/>
      <w:lvlJc w:val="left"/>
      <w:pPr>
        <w:ind w:left="1440" w:hanging="360"/>
      </w:pPr>
      <w:rPr>
        <w:rFonts w:ascii="Courier New" w:hAnsi="Courier New" w:hint="default"/>
      </w:rPr>
    </w:lvl>
    <w:lvl w:ilvl="2" w:tplc="D708D4BC" w:tentative="1">
      <w:start w:val="1"/>
      <w:numFmt w:val="bullet"/>
      <w:lvlText w:val=""/>
      <w:lvlJc w:val="left"/>
      <w:pPr>
        <w:ind w:left="2160" w:hanging="360"/>
      </w:pPr>
      <w:rPr>
        <w:rFonts w:ascii="Wingdings" w:hAnsi="Wingdings" w:hint="default"/>
      </w:rPr>
    </w:lvl>
    <w:lvl w:ilvl="3" w:tplc="C76E6DE4" w:tentative="1">
      <w:start w:val="1"/>
      <w:numFmt w:val="bullet"/>
      <w:lvlText w:val=""/>
      <w:lvlJc w:val="left"/>
      <w:pPr>
        <w:ind w:left="2880" w:hanging="360"/>
      </w:pPr>
      <w:rPr>
        <w:rFonts w:ascii="Symbol" w:hAnsi="Symbol" w:hint="default"/>
      </w:rPr>
    </w:lvl>
    <w:lvl w:ilvl="4" w:tplc="1D70CA1E" w:tentative="1">
      <w:start w:val="1"/>
      <w:numFmt w:val="bullet"/>
      <w:lvlText w:val="o"/>
      <w:lvlJc w:val="left"/>
      <w:pPr>
        <w:ind w:left="3600" w:hanging="360"/>
      </w:pPr>
      <w:rPr>
        <w:rFonts w:ascii="Courier New" w:hAnsi="Courier New" w:hint="default"/>
      </w:rPr>
    </w:lvl>
    <w:lvl w:ilvl="5" w:tplc="87ECEB58" w:tentative="1">
      <w:start w:val="1"/>
      <w:numFmt w:val="bullet"/>
      <w:lvlText w:val=""/>
      <w:lvlJc w:val="left"/>
      <w:pPr>
        <w:ind w:left="4320" w:hanging="360"/>
      </w:pPr>
      <w:rPr>
        <w:rFonts w:ascii="Wingdings" w:hAnsi="Wingdings" w:hint="default"/>
      </w:rPr>
    </w:lvl>
    <w:lvl w:ilvl="6" w:tplc="19E0FBC4" w:tentative="1">
      <w:start w:val="1"/>
      <w:numFmt w:val="bullet"/>
      <w:lvlText w:val=""/>
      <w:lvlJc w:val="left"/>
      <w:pPr>
        <w:ind w:left="5040" w:hanging="360"/>
      </w:pPr>
      <w:rPr>
        <w:rFonts w:ascii="Symbol" w:hAnsi="Symbol" w:hint="default"/>
      </w:rPr>
    </w:lvl>
    <w:lvl w:ilvl="7" w:tplc="4906EF38" w:tentative="1">
      <w:start w:val="1"/>
      <w:numFmt w:val="bullet"/>
      <w:lvlText w:val="o"/>
      <w:lvlJc w:val="left"/>
      <w:pPr>
        <w:ind w:left="5760" w:hanging="360"/>
      </w:pPr>
      <w:rPr>
        <w:rFonts w:ascii="Courier New" w:hAnsi="Courier New" w:hint="default"/>
      </w:rPr>
    </w:lvl>
    <w:lvl w:ilvl="8" w:tplc="CF628298" w:tentative="1">
      <w:start w:val="1"/>
      <w:numFmt w:val="bullet"/>
      <w:lvlText w:val=""/>
      <w:lvlJc w:val="left"/>
      <w:pPr>
        <w:ind w:left="6480" w:hanging="360"/>
      </w:pPr>
      <w:rPr>
        <w:rFonts w:ascii="Wingdings" w:hAnsi="Wingdings" w:hint="default"/>
      </w:rPr>
    </w:lvl>
  </w:abstractNum>
  <w:abstractNum w:abstractNumId="5" w15:restartNumberingAfterBreak="0">
    <w:nsid w:val="179F5C6F"/>
    <w:multiLevelType w:val="hybridMultilevel"/>
    <w:tmpl w:val="9A064EC0"/>
    <w:lvl w:ilvl="0" w:tplc="4E00CC9C">
      <w:start w:val="1"/>
      <w:numFmt w:val="bullet"/>
      <w:lvlText w:val=""/>
      <w:lvlJc w:val="left"/>
      <w:pPr>
        <w:tabs>
          <w:tab w:val="num" w:pos="720"/>
        </w:tabs>
        <w:ind w:left="720" w:hanging="360"/>
      </w:pPr>
      <w:rPr>
        <w:rFonts w:ascii="Symbol" w:hAnsi="Symbol" w:hint="default"/>
        <w:color w:val="auto"/>
      </w:rPr>
    </w:lvl>
    <w:lvl w:ilvl="1" w:tplc="0994D82E" w:tentative="1">
      <w:start w:val="1"/>
      <w:numFmt w:val="bullet"/>
      <w:lvlText w:val="o"/>
      <w:lvlJc w:val="left"/>
      <w:pPr>
        <w:tabs>
          <w:tab w:val="num" w:pos="1440"/>
        </w:tabs>
        <w:ind w:left="1440" w:hanging="360"/>
      </w:pPr>
      <w:rPr>
        <w:rFonts w:ascii="Courier New" w:hAnsi="Courier New" w:hint="default"/>
      </w:rPr>
    </w:lvl>
    <w:lvl w:ilvl="2" w:tplc="EA3A4A80" w:tentative="1">
      <w:start w:val="1"/>
      <w:numFmt w:val="bullet"/>
      <w:lvlText w:val=""/>
      <w:lvlJc w:val="left"/>
      <w:pPr>
        <w:tabs>
          <w:tab w:val="num" w:pos="2160"/>
        </w:tabs>
        <w:ind w:left="2160" w:hanging="360"/>
      </w:pPr>
      <w:rPr>
        <w:rFonts w:ascii="Wingdings" w:hAnsi="Wingdings" w:hint="default"/>
      </w:rPr>
    </w:lvl>
    <w:lvl w:ilvl="3" w:tplc="9DCE7A22" w:tentative="1">
      <w:start w:val="1"/>
      <w:numFmt w:val="bullet"/>
      <w:lvlText w:val=""/>
      <w:lvlJc w:val="left"/>
      <w:pPr>
        <w:tabs>
          <w:tab w:val="num" w:pos="2880"/>
        </w:tabs>
        <w:ind w:left="2880" w:hanging="360"/>
      </w:pPr>
      <w:rPr>
        <w:rFonts w:ascii="Symbol" w:hAnsi="Symbol" w:hint="default"/>
      </w:rPr>
    </w:lvl>
    <w:lvl w:ilvl="4" w:tplc="C534007E" w:tentative="1">
      <w:start w:val="1"/>
      <w:numFmt w:val="bullet"/>
      <w:lvlText w:val="o"/>
      <w:lvlJc w:val="left"/>
      <w:pPr>
        <w:tabs>
          <w:tab w:val="num" w:pos="3600"/>
        </w:tabs>
        <w:ind w:left="3600" w:hanging="360"/>
      </w:pPr>
      <w:rPr>
        <w:rFonts w:ascii="Courier New" w:hAnsi="Courier New" w:hint="default"/>
      </w:rPr>
    </w:lvl>
    <w:lvl w:ilvl="5" w:tplc="2E84DA76" w:tentative="1">
      <w:start w:val="1"/>
      <w:numFmt w:val="bullet"/>
      <w:lvlText w:val=""/>
      <w:lvlJc w:val="left"/>
      <w:pPr>
        <w:tabs>
          <w:tab w:val="num" w:pos="4320"/>
        </w:tabs>
        <w:ind w:left="4320" w:hanging="360"/>
      </w:pPr>
      <w:rPr>
        <w:rFonts w:ascii="Wingdings" w:hAnsi="Wingdings" w:hint="default"/>
      </w:rPr>
    </w:lvl>
    <w:lvl w:ilvl="6" w:tplc="A2286860" w:tentative="1">
      <w:start w:val="1"/>
      <w:numFmt w:val="bullet"/>
      <w:lvlText w:val=""/>
      <w:lvlJc w:val="left"/>
      <w:pPr>
        <w:tabs>
          <w:tab w:val="num" w:pos="5040"/>
        </w:tabs>
        <w:ind w:left="5040" w:hanging="360"/>
      </w:pPr>
      <w:rPr>
        <w:rFonts w:ascii="Symbol" w:hAnsi="Symbol" w:hint="default"/>
      </w:rPr>
    </w:lvl>
    <w:lvl w:ilvl="7" w:tplc="C426721C" w:tentative="1">
      <w:start w:val="1"/>
      <w:numFmt w:val="bullet"/>
      <w:lvlText w:val="o"/>
      <w:lvlJc w:val="left"/>
      <w:pPr>
        <w:tabs>
          <w:tab w:val="num" w:pos="5760"/>
        </w:tabs>
        <w:ind w:left="5760" w:hanging="360"/>
      </w:pPr>
      <w:rPr>
        <w:rFonts w:ascii="Courier New" w:hAnsi="Courier New" w:hint="default"/>
      </w:rPr>
    </w:lvl>
    <w:lvl w:ilvl="8" w:tplc="0CE4EF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B307B"/>
    <w:multiLevelType w:val="hybridMultilevel"/>
    <w:tmpl w:val="BF4A12CE"/>
    <w:lvl w:ilvl="0" w:tplc="DEBA38A6">
      <w:start w:val="1"/>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8"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1590670"/>
    <w:multiLevelType w:val="hybridMultilevel"/>
    <w:tmpl w:val="1E0C0108"/>
    <w:lvl w:ilvl="0" w:tplc="DEBA38A6">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A57B1E"/>
    <w:multiLevelType w:val="hybridMultilevel"/>
    <w:tmpl w:val="16868CC2"/>
    <w:lvl w:ilvl="0" w:tplc="89EA5098">
      <w:start w:val="1"/>
      <w:numFmt w:val="bullet"/>
      <w:lvlText w:val=""/>
      <w:lvlJc w:val="left"/>
      <w:pPr>
        <w:tabs>
          <w:tab w:val="num" w:pos="720"/>
        </w:tabs>
        <w:ind w:left="720" w:hanging="360"/>
      </w:pPr>
      <w:rPr>
        <w:rFonts w:ascii="Symbol" w:hAnsi="Symbol" w:hint="default"/>
      </w:rPr>
    </w:lvl>
    <w:lvl w:ilvl="1" w:tplc="3686213E">
      <w:start w:val="1"/>
      <w:numFmt w:val="decimal"/>
      <w:lvlText w:val="%2."/>
      <w:lvlJc w:val="left"/>
      <w:pPr>
        <w:tabs>
          <w:tab w:val="num" w:pos="1440"/>
        </w:tabs>
        <w:ind w:left="1440" w:hanging="360"/>
      </w:pPr>
      <w:rPr>
        <w:rFonts w:cs="Times New Roman"/>
      </w:rPr>
    </w:lvl>
    <w:lvl w:ilvl="2" w:tplc="B2D08082">
      <w:start w:val="1"/>
      <w:numFmt w:val="decimal"/>
      <w:lvlText w:val="%3."/>
      <w:lvlJc w:val="left"/>
      <w:pPr>
        <w:tabs>
          <w:tab w:val="num" w:pos="2160"/>
        </w:tabs>
        <w:ind w:left="2160" w:hanging="360"/>
      </w:pPr>
      <w:rPr>
        <w:rFonts w:cs="Times New Roman"/>
      </w:rPr>
    </w:lvl>
    <w:lvl w:ilvl="3" w:tplc="9D5C478E">
      <w:start w:val="1"/>
      <w:numFmt w:val="decimal"/>
      <w:lvlText w:val="%4."/>
      <w:lvlJc w:val="left"/>
      <w:pPr>
        <w:tabs>
          <w:tab w:val="num" w:pos="2880"/>
        </w:tabs>
        <w:ind w:left="2880" w:hanging="360"/>
      </w:pPr>
      <w:rPr>
        <w:rFonts w:cs="Times New Roman"/>
      </w:rPr>
    </w:lvl>
    <w:lvl w:ilvl="4" w:tplc="8C52B30C">
      <w:start w:val="1"/>
      <w:numFmt w:val="decimal"/>
      <w:lvlText w:val="%5."/>
      <w:lvlJc w:val="left"/>
      <w:pPr>
        <w:tabs>
          <w:tab w:val="num" w:pos="3600"/>
        </w:tabs>
        <w:ind w:left="3600" w:hanging="360"/>
      </w:pPr>
      <w:rPr>
        <w:rFonts w:cs="Times New Roman"/>
      </w:rPr>
    </w:lvl>
    <w:lvl w:ilvl="5" w:tplc="6658962E">
      <w:start w:val="1"/>
      <w:numFmt w:val="decimal"/>
      <w:lvlText w:val="%6."/>
      <w:lvlJc w:val="left"/>
      <w:pPr>
        <w:tabs>
          <w:tab w:val="num" w:pos="4320"/>
        </w:tabs>
        <w:ind w:left="4320" w:hanging="360"/>
      </w:pPr>
      <w:rPr>
        <w:rFonts w:cs="Times New Roman"/>
      </w:rPr>
    </w:lvl>
    <w:lvl w:ilvl="6" w:tplc="D15C6124">
      <w:start w:val="1"/>
      <w:numFmt w:val="decimal"/>
      <w:lvlText w:val="%7."/>
      <w:lvlJc w:val="left"/>
      <w:pPr>
        <w:tabs>
          <w:tab w:val="num" w:pos="5040"/>
        </w:tabs>
        <w:ind w:left="5040" w:hanging="360"/>
      </w:pPr>
      <w:rPr>
        <w:rFonts w:cs="Times New Roman"/>
      </w:rPr>
    </w:lvl>
    <w:lvl w:ilvl="7" w:tplc="36F27212">
      <w:start w:val="1"/>
      <w:numFmt w:val="decimal"/>
      <w:lvlText w:val="%8."/>
      <w:lvlJc w:val="left"/>
      <w:pPr>
        <w:tabs>
          <w:tab w:val="num" w:pos="5760"/>
        </w:tabs>
        <w:ind w:left="5760" w:hanging="360"/>
      </w:pPr>
      <w:rPr>
        <w:rFonts w:cs="Times New Roman"/>
      </w:rPr>
    </w:lvl>
    <w:lvl w:ilvl="8" w:tplc="A06A6D90">
      <w:start w:val="1"/>
      <w:numFmt w:val="decimal"/>
      <w:lvlText w:val="%9."/>
      <w:lvlJc w:val="left"/>
      <w:pPr>
        <w:tabs>
          <w:tab w:val="num" w:pos="6480"/>
        </w:tabs>
        <w:ind w:left="6480" w:hanging="360"/>
      </w:pPr>
      <w:rPr>
        <w:rFonts w:cs="Times New Roman"/>
      </w:rPr>
    </w:lvl>
  </w:abstractNum>
  <w:abstractNum w:abstractNumId="11" w15:restartNumberingAfterBreak="0">
    <w:nsid w:val="2B186B0D"/>
    <w:multiLevelType w:val="hybridMultilevel"/>
    <w:tmpl w:val="2D321C2A"/>
    <w:lvl w:ilvl="0" w:tplc="E91C5944">
      <w:start w:val="1"/>
      <w:numFmt w:val="bullet"/>
      <w:lvlText w:val=""/>
      <w:lvlJc w:val="left"/>
      <w:pPr>
        <w:ind w:left="720" w:hanging="360"/>
      </w:pPr>
      <w:rPr>
        <w:rFonts w:ascii="Symbol" w:hAnsi="Symbol" w:hint="default"/>
      </w:rPr>
    </w:lvl>
    <w:lvl w:ilvl="1" w:tplc="FFD6808E" w:tentative="1">
      <w:start w:val="1"/>
      <w:numFmt w:val="bullet"/>
      <w:lvlText w:val="o"/>
      <w:lvlJc w:val="left"/>
      <w:pPr>
        <w:ind w:left="1440" w:hanging="360"/>
      </w:pPr>
      <w:rPr>
        <w:rFonts w:ascii="Courier New" w:hAnsi="Courier New" w:cs="Courier New" w:hint="default"/>
      </w:rPr>
    </w:lvl>
    <w:lvl w:ilvl="2" w:tplc="395ABFDC" w:tentative="1">
      <w:start w:val="1"/>
      <w:numFmt w:val="bullet"/>
      <w:lvlText w:val=""/>
      <w:lvlJc w:val="left"/>
      <w:pPr>
        <w:ind w:left="2160" w:hanging="360"/>
      </w:pPr>
      <w:rPr>
        <w:rFonts w:ascii="Wingdings" w:hAnsi="Wingdings" w:hint="default"/>
      </w:rPr>
    </w:lvl>
    <w:lvl w:ilvl="3" w:tplc="ED8002F4" w:tentative="1">
      <w:start w:val="1"/>
      <w:numFmt w:val="bullet"/>
      <w:lvlText w:val=""/>
      <w:lvlJc w:val="left"/>
      <w:pPr>
        <w:ind w:left="2880" w:hanging="360"/>
      </w:pPr>
      <w:rPr>
        <w:rFonts w:ascii="Symbol" w:hAnsi="Symbol" w:hint="default"/>
      </w:rPr>
    </w:lvl>
    <w:lvl w:ilvl="4" w:tplc="BAC4A74C" w:tentative="1">
      <w:start w:val="1"/>
      <w:numFmt w:val="bullet"/>
      <w:lvlText w:val="o"/>
      <w:lvlJc w:val="left"/>
      <w:pPr>
        <w:ind w:left="3600" w:hanging="360"/>
      </w:pPr>
      <w:rPr>
        <w:rFonts w:ascii="Courier New" w:hAnsi="Courier New" w:cs="Courier New" w:hint="default"/>
      </w:rPr>
    </w:lvl>
    <w:lvl w:ilvl="5" w:tplc="A5DA4E46" w:tentative="1">
      <w:start w:val="1"/>
      <w:numFmt w:val="bullet"/>
      <w:lvlText w:val=""/>
      <w:lvlJc w:val="left"/>
      <w:pPr>
        <w:ind w:left="4320" w:hanging="360"/>
      </w:pPr>
      <w:rPr>
        <w:rFonts w:ascii="Wingdings" w:hAnsi="Wingdings" w:hint="default"/>
      </w:rPr>
    </w:lvl>
    <w:lvl w:ilvl="6" w:tplc="505AE550" w:tentative="1">
      <w:start w:val="1"/>
      <w:numFmt w:val="bullet"/>
      <w:lvlText w:val=""/>
      <w:lvlJc w:val="left"/>
      <w:pPr>
        <w:ind w:left="5040" w:hanging="360"/>
      </w:pPr>
      <w:rPr>
        <w:rFonts w:ascii="Symbol" w:hAnsi="Symbol" w:hint="default"/>
      </w:rPr>
    </w:lvl>
    <w:lvl w:ilvl="7" w:tplc="DC205E42" w:tentative="1">
      <w:start w:val="1"/>
      <w:numFmt w:val="bullet"/>
      <w:lvlText w:val="o"/>
      <w:lvlJc w:val="left"/>
      <w:pPr>
        <w:ind w:left="5760" w:hanging="360"/>
      </w:pPr>
      <w:rPr>
        <w:rFonts w:ascii="Courier New" w:hAnsi="Courier New" w:cs="Courier New" w:hint="default"/>
      </w:rPr>
    </w:lvl>
    <w:lvl w:ilvl="8" w:tplc="908A860E" w:tentative="1">
      <w:start w:val="1"/>
      <w:numFmt w:val="bullet"/>
      <w:lvlText w:val=""/>
      <w:lvlJc w:val="left"/>
      <w:pPr>
        <w:ind w:left="6480" w:hanging="360"/>
      </w:pPr>
      <w:rPr>
        <w:rFonts w:ascii="Wingdings" w:hAnsi="Wingdings" w:hint="default"/>
      </w:rPr>
    </w:lvl>
  </w:abstractNum>
  <w:abstractNum w:abstractNumId="12" w15:restartNumberingAfterBreak="0">
    <w:nsid w:val="2DDD4386"/>
    <w:multiLevelType w:val="multilevel"/>
    <w:tmpl w:val="BA4ED172"/>
    <w:lvl w:ilvl="0">
      <w:start w:val="1"/>
      <w:numFmt w:val="decimal"/>
      <w:pStyle w:val="H1"/>
      <w:lvlText w:val="%1."/>
      <w:lvlJc w:val="left"/>
      <w:pPr>
        <w:ind w:left="851" w:hanging="851"/>
      </w:pPr>
      <w:rPr>
        <w:rFonts w:hint="default"/>
      </w:rPr>
    </w:lvl>
    <w:lvl w:ilvl="1">
      <w:start w:val="1"/>
      <w:numFmt w:val="decimal"/>
      <w:pStyle w:val="H2"/>
      <w:lvlText w:val="%1.%2."/>
      <w:lvlJc w:val="left"/>
      <w:pPr>
        <w:ind w:left="851" w:hanging="851"/>
      </w:pPr>
      <w:rPr>
        <w:rFonts w:hint="default"/>
      </w:rPr>
    </w:lvl>
    <w:lvl w:ilvl="2">
      <w:start w:val="1"/>
      <w:numFmt w:val="decimal"/>
      <w:pStyle w:val="H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H5"/>
      <w:lvlText w:val="%1.%2.%3.%4.%5."/>
      <w:lvlJc w:val="left"/>
      <w:pPr>
        <w:ind w:left="851" w:hanging="851"/>
      </w:pPr>
      <w:rPr>
        <w:rFonts w:hint="default"/>
      </w:rPr>
    </w:lvl>
    <w:lvl w:ilvl="5">
      <w:start w:val="1"/>
      <w:numFmt w:val="decimal"/>
      <w:pStyle w:val="H6"/>
      <w:lvlText w:val="%1.%2.%3.%4.%5.%6"/>
      <w:lvlJc w:val="left"/>
      <w:pPr>
        <w:ind w:left="851" w:hanging="851"/>
      </w:pPr>
      <w:rPr>
        <w:rFonts w:hint="default"/>
      </w:rPr>
    </w:lvl>
    <w:lvl w:ilvl="6">
      <w:start w:val="1"/>
      <w:numFmt w:val="decimal"/>
      <w:pStyle w:val="H7"/>
      <w:lvlText w:val="%1.%2.%3.%4.%5.%6.%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3" w15:restartNumberingAfterBreak="0">
    <w:nsid w:val="33FD3183"/>
    <w:multiLevelType w:val="hybridMultilevel"/>
    <w:tmpl w:val="4AAADE7E"/>
    <w:lvl w:ilvl="0" w:tplc="7E921E2C">
      <w:start w:val="1"/>
      <w:numFmt w:val="bullet"/>
      <w:lvlText w:val=""/>
      <w:lvlJc w:val="left"/>
      <w:pPr>
        <w:ind w:left="720" w:hanging="360"/>
      </w:pPr>
      <w:rPr>
        <w:rFonts w:ascii="Symbol" w:hAnsi="Symbol" w:hint="default"/>
      </w:rPr>
    </w:lvl>
    <w:lvl w:ilvl="1" w:tplc="BD62E298">
      <w:start w:val="1"/>
      <w:numFmt w:val="bullet"/>
      <w:lvlText w:val="o"/>
      <w:lvlJc w:val="left"/>
      <w:pPr>
        <w:ind w:left="1440" w:hanging="360"/>
      </w:pPr>
      <w:rPr>
        <w:rFonts w:ascii="Courier New" w:hAnsi="Courier New" w:hint="default"/>
      </w:rPr>
    </w:lvl>
    <w:lvl w:ilvl="2" w:tplc="A0BAA1C4" w:tentative="1">
      <w:start w:val="1"/>
      <w:numFmt w:val="bullet"/>
      <w:lvlText w:val=""/>
      <w:lvlJc w:val="left"/>
      <w:pPr>
        <w:ind w:left="2160" w:hanging="360"/>
      </w:pPr>
      <w:rPr>
        <w:rFonts w:ascii="Wingdings" w:hAnsi="Wingdings" w:hint="default"/>
      </w:rPr>
    </w:lvl>
    <w:lvl w:ilvl="3" w:tplc="68AC150A" w:tentative="1">
      <w:start w:val="1"/>
      <w:numFmt w:val="bullet"/>
      <w:lvlText w:val=""/>
      <w:lvlJc w:val="left"/>
      <w:pPr>
        <w:ind w:left="2880" w:hanging="360"/>
      </w:pPr>
      <w:rPr>
        <w:rFonts w:ascii="Symbol" w:hAnsi="Symbol" w:hint="default"/>
      </w:rPr>
    </w:lvl>
    <w:lvl w:ilvl="4" w:tplc="94168DA8" w:tentative="1">
      <w:start w:val="1"/>
      <w:numFmt w:val="bullet"/>
      <w:lvlText w:val="o"/>
      <w:lvlJc w:val="left"/>
      <w:pPr>
        <w:ind w:left="3600" w:hanging="360"/>
      </w:pPr>
      <w:rPr>
        <w:rFonts w:ascii="Courier New" w:hAnsi="Courier New" w:hint="default"/>
      </w:rPr>
    </w:lvl>
    <w:lvl w:ilvl="5" w:tplc="06846D76" w:tentative="1">
      <w:start w:val="1"/>
      <w:numFmt w:val="bullet"/>
      <w:lvlText w:val=""/>
      <w:lvlJc w:val="left"/>
      <w:pPr>
        <w:ind w:left="4320" w:hanging="360"/>
      </w:pPr>
      <w:rPr>
        <w:rFonts w:ascii="Wingdings" w:hAnsi="Wingdings" w:hint="default"/>
      </w:rPr>
    </w:lvl>
    <w:lvl w:ilvl="6" w:tplc="AEEE61A2" w:tentative="1">
      <w:start w:val="1"/>
      <w:numFmt w:val="bullet"/>
      <w:lvlText w:val=""/>
      <w:lvlJc w:val="left"/>
      <w:pPr>
        <w:ind w:left="5040" w:hanging="360"/>
      </w:pPr>
      <w:rPr>
        <w:rFonts w:ascii="Symbol" w:hAnsi="Symbol" w:hint="default"/>
      </w:rPr>
    </w:lvl>
    <w:lvl w:ilvl="7" w:tplc="1FB27AEC" w:tentative="1">
      <w:start w:val="1"/>
      <w:numFmt w:val="bullet"/>
      <w:lvlText w:val="o"/>
      <w:lvlJc w:val="left"/>
      <w:pPr>
        <w:ind w:left="5760" w:hanging="360"/>
      </w:pPr>
      <w:rPr>
        <w:rFonts w:ascii="Courier New" w:hAnsi="Courier New" w:hint="default"/>
      </w:rPr>
    </w:lvl>
    <w:lvl w:ilvl="8" w:tplc="372ACDA0" w:tentative="1">
      <w:start w:val="1"/>
      <w:numFmt w:val="bullet"/>
      <w:lvlText w:val=""/>
      <w:lvlJc w:val="left"/>
      <w:pPr>
        <w:ind w:left="6480" w:hanging="360"/>
      </w:pPr>
      <w:rPr>
        <w:rFonts w:ascii="Wingdings" w:hAnsi="Wingding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155AE2"/>
    <w:multiLevelType w:val="hybridMultilevel"/>
    <w:tmpl w:val="1690EB80"/>
    <w:lvl w:ilvl="0" w:tplc="28F6CC2C">
      <w:numFmt w:val="bullet"/>
      <w:lvlText w:val="•"/>
      <w:lvlJc w:val="left"/>
      <w:pPr>
        <w:ind w:left="720" w:hanging="360"/>
      </w:pPr>
      <w:rPr>
        <w:rFonts w:ascii="Verdana" w:eastAsia="Verdana" w:hAnsi="Verdana" w:cs="Verdana" w:hint="default"/>
      </w:rPr>
    </w:lvl>
    <w:lvl w:ilvl="1" w:tplc="4EAA5BD0" w:tentative="1">
      <w:start w:val="1"/>
      <w:numFmt w:val="bullet"/>
      <w:lvlText w:val="o"/>
      <w:lvlJc w:val="left"/>
      <w:pPr>
        <w:ind w:left="1440" w:hanging="360"/>
      </w:pPr>
      <w:rPr>
        <w:rFonts w:ascii="Courier New" w:hAnsi="Courier New" w:cs="Courier New" w:hint="default"/>
      </w:rPr>
    </w:lvl>
    <w:lvl w:ilvl="2" w:tplc="BABC3B10" w:tentative="1">
      <w:start w:val="1"/>
      <w:numFmt w:val="bullet"/>
      <w:lvlText w:val=""/>
      <w:lvlJc w:val="left"/>
      <w:pPr>
        <w:ind w:left="2160" w:hanging="360"/>
      </w:pPr>
      <w:rPr>
        <w:rFonts w:ascii="Wingdings" w:hAnsi="Wingdings" w:hint="default"/>
      </w:rPr>
    </w:lvl>
    <w:lvl w:ilvl="3" w:tplc="26A8566C" w:tentative="1">
      <w:start w:val="1"/>
      <w:numFmt w:val="bullet"/>
      <w:lvlText w:val=""/>
      <w:lvlJc w:val="left"/>
      <w:pPr>
        <w:ind w:left="2880" w:hanging="360"/>
      </w:pPr>
      <w:rPr>
        <w:rFonts w:ascii="Symbol" w:hAnsi="Symbol" w:hint="default"/>
      </w:rPr>
    </w:lvl>
    <w:lvl w:ilvl="4" w:tplc="F12A8624" w:tentative="1">
      <w:start w:val="1"/>
      <w:numFmt w:val="bullet"/>
      <w:lvlText w:val="o"/>
      <w:lvlJc w:val="left"/>
      <w:pPr>
        <w:ind w:left="3600" w:hanging="360"/>
      </w:pPr>
      <w:rPr>
        <w:rFonts w:ascii="Courier New" w:hAnsi="Courier New" w:cs="Courier New" w:hint="default"/>
      </w:rPr>
    </w:lvl>
    <w:lvl w:ilvl="5" w:tplc="739829E6" w:tentative="1">
      <w:start w:val="1"/>
      <w:numFmt w:val="bullet"/>
      <w:lvlText w:val=""/>
      <w:lvlJc w:val="left"/>
      <w:pPr>
        <w:ind w:left="4320" w:hanging="360"/>
      </w:pPr>
      <w:rPr>
        <w:rFonts w:ascii="Wingdings" w:hAnsi="Wingdings" w:hint="default"/>
      </w:rPr>
    </w:lvl>
    <w:lvl w:ilvl="6" w:tplc="B1467FB8" w:tentative="1">
      <w:start w:val="1"/>
      <w:numFmt w:val="bullet"/>
      <w:lvlText w:val=""/>
      <w:lvlJc w:val="left"/>
      <w:pPr>
        <w:ind w:left="5040" w:hanging="360"/>
      </w:pPr>
      <w:rPr>
        <w:rFonts w:ascii="Symbol" w:hAnsi="Symbol" w:hint="default"/>
      </w:rPr>
    </w:lvl>
    <w:lvl w:ilvl="7" w:tplc="2B501408" w:tentative="1">
      <w:start w:val="1"/>
      <w:numFmt w:val="bullet"/>
      <w:lvlText w:val="o"/>
      <w:lvlJc w:val="left"/>
      <w:pPr>
        <w:ind w:left="5760" w:hanging="360"/>
      </w:pPr>
      <w:rPr>
        <w:rFonts w:ascii="Courier New" w:hAnsi="Courier New" w:cs="Courier New" w:hint="default"/>
      </w:rPr>
    </w:lvl>
    <w:lvl w:ilvl="8" w:tplc="D9BCA020" w:tentative="1">
      <w:start w:val="1"/>
      <w:numFmt w:val="bullet"/>
      <w:lvlText w:val=""/>
      <w:lvlJc w:val="left"/>
      <w:pPr>
        <w:ind w:left="6480" w:hanging="360"/>
      </w:pPr>
      <w:rPr>
        <w:rFonts w:ascii="Wingdings" w:hAnsi="Wingdings" w:hint="default"/>
      </w:rPr>
    </w:lvl>
  </w:abstractNum>
  <w:abstractNum w:abstractNumId="16" w15:restartNumberingAfterBreak="0">
    <w:nsid w:val="3BCE0553"/>
    <w:multiLevelType w:val="hybridMultilevel"/>
    <w:tmpl w:val="D5F21B6A"/>
    <w:lvl w:ilvl="0" w:tplc="F8321718">
      <w:start w:val="1"/>
      <w:numFmt w:val="bullet"/>
      <w:lvlText w:val=""/>
      <w:lvlJc w:val="left"/>
      <w:pPr>
        <w:tabs>
          <w:tab w:val="num" w:pos="720"/>
        </w:tabs>
        <w:ind w:left="720" w:hanging="360"/>
      </w:pPr>
      <w:rPr>
        <w:rFonts w:ascii="Symbol" w:hAnsi="Symbol" w:hint="default"/>
      </w:rPr>
    </w:lvl>
    <w:lvl w:ilvl="1" w:tplc="3D404094">
      <w:start w:val="1"/>
      <w:numFmt w:val="decimal"/>
      <w:lvlText w:val="%2."/>
      <w:lvlJc w:val="left"/>
      <w:pPr>
        <w:tabs>
          <w:tab w:val="num" w:pos="1440"/>
        </w:tabs>
        <w:ind w:left="1440" w:hanging="360"/>
      </w:pPr>
      <w:rPr>
        <w:rFonts w:cs="Times New Roman"/>
      </w:rPr>
    </w:lvl>
    <w:lvl w:ilvl="2" w:tplc="E858225C">
      <w:start w:val="1"/>
      <w:numFmt w:val="decimal"/>
      <w:lvlText w:val="%3."/>
      <w:lvlJc w:val="left"/>
      <w:pPr>
        <w:tabs>
          <w:tab w:val="num" w:pos="2160"/>
        </w:tabs>
        <w:ind w:left="2160" w:hanging="360"/>
      </w:pPr>
      <w:rPr>
        <w:rFonts w:cs="Times New Roman"/>
      </w:rPr>
    </w:lvl>
    <w:lvl w:ilvl="3" w:tplc="9E665816">
      <w:start w:val="1"/>
      <w:numFmt w:val="decimal"/>
      <w:lvlText w:val="%4."/>
      <w:lvlJc w:val="left"/>
      <w:pPr>
        <w:tabs>
          <w:tab w:val="num" w:pos="2880"/>
        </w:tabs>
        <w:ind w:left="2880" w:hanging="360"/>
      </w:pPr>
      <w:rPr>
        <w:rFonts w:cs="Times New Roman"/>
      </w:rPr>
    </w:lvl>
    <w:lvl w:ilvl="4" w:tplc="AC2A49A4">
      <w:start w:val="1"/>
      <w:numFmt w:val="decimal"/>
      <w:lvlText w:val="%5."/>
      <w:lvlJc w:val="left"/>
      <w:pPr>
        <w:tabs>
          <w:tab w:val="num" w:pos="3600"/>
        </w:tabs>
        <w:ind w:left="3600" w:hanging="360"/>
      </w:pPr>
      <w:rPr>
        <w:rFonts w:cs="Times New Roman"/>
      </w:rPr>
    </w:lvl>
    <w:lvl w:ilvl="5" w:tplc="87AA0E4C">
      <w:start w:val="1"/>
      <w:numFmt w:val="decimal"/>
      <w:lvlText w:val="%6."/>
      <w:lvlJc w:val="left"/>
      <w:pPr>
        <w:tabs>
          <w:tab w:val="num" w:pos="4320"/>
        </w:tabs>
        <w:ind w:left="4320" w:hanging="360"/>
      </w:pPr>
      <w:rPr>
        <w:rFonts w:cs="Times New Roman"/>
      </w:rPr>
    </w:lvl>
    <w:lvl w:ilvl="6" w:tplc="EF123CB6">
      <w:start w:val="1"/>
      <w:numFmt w:val="decimal"/>
      <w:lvlText w:val="%7."/>
      <w:lvlJc w:val="left"/>
      <w:pPr>
        <w:tabs>
          <w:tab w:val="num" w:pos="5040"/>
        </w:tabs>
        <w:ind w:left="5040" w:hanging="360"/>
      </w:pPr>
      <w:rPr>
        <w:rFonts w:cs="Times New Roman"/>
      </w:rPr>
    </w:lvl>
    <w:lvl w:ilvl="7" w:tplc="9F76100C">
      <w:start w:val="1"/>
      <w:numFmt w:val="decimal"/>
      <w:lvlText w:val="%8."/>
      <w:lvlJc w:val="left"/>
      <w:pPr>
        <w:tabs>
          <w:tab w:val="num" w:pos="5760"/>
        </w:tabs>
        <w:ind w:left="5760" w:hanging="360"/>
      </w:pPr>
      <w:rPr>
        <w:rFonts w:cs="Times New Roman"/>
      </w:rPr>
    </w:lvl>
    <w:lvl w:ilvl="8" w:tplc="D8BC44CE">
      <w:start w:val="1"/>
      <w:numFmt w:val="decimal"/>
      <w:lvlText w:val="%9."/>
      <w:lvlJc w:val="left"/>
      <w:pPr>
        <w:tabs>
          <w:tab w:val="num" w:pos="6480"/>
        </w:tabs>
        <w:ind w:left="6480" w:hanging="360"/>
      </w:pPr>
      <w:rPr>
        <w:rFonts w:cs="Times New Roman"/>
      </w:rPr>
    </w:lvl>
  </w:abstractNum>
  <w:abstractNum w:abstractNumId="17" w15:restartNumberingAfterBreak="0">
    <w:nsid w:val="3D1C2BAB"/>
    <w:multiLevelType w:val="hybridMultilevel"/>
    <w:tmpl w:val="1A103E60"/>
    <w:lvl w:ilvl="0" w:tplc="59BE3CE2">
      <w:start w:val="1"/>
      <w:numFmt w:val="bullet"/>
      <w:lvlText w:val=""/>
      <w:lvlJc w:val="left"/>
      <w:pPr>
        <w:ind w:left="360" w:hanging="360"/>
      </w:pPr>
      <w:rPr>
        <w:rFonts w:ascii="Symbol" w:hAnsi="Symbol" w:hint="default"/>
      </w:rPr>
    </w:lvl>
    <w:lvl w:ilvl="1" w:tplc="142A0F3C" w:tentative="1">
      <w:start w:val="1"/>
      <w:numFmt w:val="bullet"/>
      <w:lvlText w:val="o"/>
      <w:lvlJc w:val="left"/>
      <w:pPr>
        <w:ind w:left="1080" w:hanging="360"/>
      </w:pPr>
      <w:rPr>
        <w:rFonts w:ascii="Courier New" w:hAnsi="Courier New" w:cs="Courier New" w:hint="default"/>
      </w:rPr>
    </w:lvl>
    <w:lvl w:ilvl="2" w:tplc="C236435C" w:tentative="1">
      <w:start w:val="1"/>
      <w:numFmt w:val="bullet"/>
      <w:lvlText w:val=""/>
      <w:lvlJc w:val="left"/>
      <w:pPr>
        <w:ind w:left="1800" w:hanging="360"/>
      </w:pPr>
      <w:rPr>
        <w:rFonts w:ascii="Wingdings" w:hAnsi="Wingdings" w:hint="default"/>
      </w:rPr>
    </w:lvl>
    <w:lvl w:ilvl="3" w:tplc="7D06AD28" w:tentative="1">
      <w:start w:val="1"/>
      <w:numFmt w:val="bullet"/>
      <w:lvlText w:val=""/>
      <w:lvlJc w:val="left"/>
      <w:pPr>
        <w:ind w:left="2520" w:hanging="360"/>
      </w:pPr>
      <w:rPr>
        <w:rFonts w:ascii="Symbol" w:hAnsi="Symbol" w:hint="default"/>
      </w:rPr>
    </w:lvl>
    <w:lvl w:ilvl="4" w:tplc="818AF31E" w:tentative="1">
      <w:start w:val="1"/>
      <w:numFmt w:val="bullet"/>
      <w:lvlText w:val="o"/>
      <w:lvlJc w:val="left"/>
      <w:pPr>
        <w:ind w:left="3240" w:hanging="360"/>
      </w:pPr>
      <w:rPr>
        <w:rFonts w:ascii="Courier New" w:hAnsi="Courier New" w:cs="Courier New" w:hint="default"/>
      </w:rPr>
    </w:lvl>
    <w:lvl w:ilvl="5" w:tplc="8BC69C5E" w:tentative="1">
      <w:start w:val="1"/>
      <w:numFmt w:val="bullet"/>
      <w:lvlText w:val=""/>
      <w:lvlJc w:val="left"/>
      <w:pPr>
        <w:ind w:left="3960" w:hanging="360"/>
      </w:pPr>
      <w:rPr>
        <w:rFonts w:ascii="Wingdings" w:hAnsi="Wingdings" w:hint="default"/>
      </w:rPr>
    </w:lvl>
    <w:lvl w:ilvl="6" w:tplc="3496D394" w:tentative="1">
      <w:start w:val="1"/>
      <w:numFmt w:val="bullet"/>
      <w:lvlText w:val=""/>
      <w:lvlJc w:val="left"/>
      <w:pPr>
        <w:ind w:left="4680" w:hanging="360"/>
      </w:pPr>
      <w:rPr>
        <w:rFonts w:ascii="Symbol" w:hAnsi="Symbol" w:hint="default"/>
      </w:rPr>
    </w:lvl>
    <w:lvl w:ilvl="7" w:tplc="7ACC835C" w:tentative="1">
      <w:start w:val="1"/>
      <w:numFmt w:val="bullet"/>
      <w:lvlText w:val="o"/>
      <w:lvlJc w:val="left"/>
      <w:pPr>
        <w:ind w:left="5400" w:hanging="360"/>
      </w:pPr>
      <w:rPr>
        <w:rFonts w:ascii="Courier New" w:hAnsi="Courier New" w:cs="Courier New" w:hint="default"/>
      </w:rPr>
    </w:lvl>
    <w:lvl w:ilvl="8" w:tplc="D2F0CA5A" w:tentative="1">
      <w:start w:val="1"/>
      <w:numFmt w:val="bullet"/>
      <w:lvlText w:val=""/>
      <w:lvlJc w:val="left"/>
      <w:pPr>
        <w:ind w:left="6120" w:hanging="360"/>
      </w:pPr>
      <w:rPr>
        <w:rFonts w:ascii="Wingdings" w:hAnsi="Wingdings" w:hint="default"/>
      </w:rPr>
    </w:lvl>
  </w:abstractNum>
  <w:abstractNum w:abstractNumId="18" w15:restartNumberingAfterBreak="0">
    <w:nsid w:val="3D7873BE"/>
    <w:multiLevelType w:val="hybridMultilevel"/>
    <w:tmpl w:val="104808B2"/>
    <w:lvl w:ilvl="0" w:tplc="BB84632E">
      <w:start w:val="1"/>
      <w:numFmt w:val="bullet"/>
      <w:lvlText w:val=""/>
      <w:lvlJc w:val="left"/>
      <w:pPr>
        <w:ind w:left="720" w:hanging="360"/>
      </w:pPr>
      <w:rPr>
        <w:rFonts w:ascii="Symbol" w:hAnsi="Symbol" w:hint="default"/>
      </w:rPr>
    </w:lvl>
    <w:lvl w:ilvl="1" w:tplc="750EFCC4" w:tentative="1">
      <w:start w:val="1"/>
      <w:numFmt w:val="bullet"/>
      <w:lvlText w:val="o"/>
      <w:lvlJc w:val="left"/>
      <w:pPr>
        <w:ind w:left="1440" w:hanging="360"/>
      </w:pPr>
      <w:rPr>
        <w:rFonts w:ascii="Courier New" w:hAnsi="Courier New" w:hint="default"/>
      </w:rPr>
    </w:lvl>
    <w:lvl w:ilvl="2" w:tplc="7ACA1F9C" w:tentative="1">
      <w:start w:val="1"/>
      <w:numFmt w:val="bullet"/>
      <w:lvlText w:val=""/>
      <w:lvlJc w:val="left"/>
      <w:pPr>
        <w:ind w:left="2160" w:hanging="360"/>
      </w:pPr>
      <w:rPr>
        <w:rFonts w:ascii="Wingdings" w:hAnsi="Wingdings" w:hint="default"/>
      </w:rPr>
    </w:lvl>
    <w:lvl w:ilvl="3" w:tplc="1A42D8BE" w:tentative="1">
      <w:start w:val="1"/>
      <w:numFmt w:val="bullet"/>
      <w:lvlText w:val=""/>
      <w:lvlJc w:val="left"/>
      <w:pPr>
        <w:ind w:left="2880" w:hanging="360"/>
      </w:pPr>
      <w:rPr>
        <w:rFonts w:ascii="Symbol" w:hAnsi="Symbol" w:hint="default"/>
      </w:rPr>
    </w:lvl>
    <w:lvl w:ilvl="4" w:tplc="A58A14AE" w:tentative="1">
      <w:start w:val="1"/>
      <w:numFmt w:val="bullet"/>
      <w:lvlText w:val="o"/>
      <w:lvlJc w:val="left"/>
      <w:pPr>
        <w:ind w:left="3600" w:hanging="360"/>
      </w:pPr>
      <w:rPr>
        <w:rFonts w:ascii="Courier New" w:hAnsi="Courier New" w:hint="default"/>
      </w:rPr>
    </w:lvl>
    <w:lvl w:ilvl="5" w:tplc="C55620D6" w:tentative="1">
      <w:start w:val="1"/>
      <w:numFmt w:val="bullet"/>
      <w:lvlText w:val=""/>
      <w:lvlJc w:val="left"/>
      <w:pPr>
        <w:ind w:left="4320" w:hanging="360"/>
      </w:pPr>
      <w:rPr>
        <w:rFonts w:ascii="Wingdings" w:hAnsi="Wingdings" w:hint="default"/>
      </w:rPr>
    </w:lvl>
    <w:lvl w:ilvl="6" w:tplc="0B201F46" w:tentative="1">
      <w:start w:val="1"/>
      <w:numFmt w:val="bullet"/>
      <w:lvlText w:val=""/>
      <w:lvlJc w:val="left"/>
      <w:pPr>
        <w:ind w:left="5040" w:hanging="360"/>
      </w:pPr>
      <w:rPr>
        <w:rFonts w:ascii="Symbol" w:hAnsi="Symbol" w:hint="default"/>
      </w:rPr>
    </w:lvl>
    <w:lvl w:ilvl="7" w:tplc="2CAE58BA" w:tentative="1">
      <w:start w:val="1"/>
      <w:numFmt w:val="bullet"/>
      <w:lvlText w:val="o"/>
      <w:lvlJc w:val="left"/>
      <w:pPr>
        <w:ind w:left="5760" w:hanging="360"/>
      </w:pPr>
      <w:rPr>
        <w:rFonts w:ascii="Courier New" w:hAnsi="Courier New" w:hint="default"/>
      </w:rPr>
    </w:lvl>
    <w:lvl w:ilvl="8" w:tplc="2E783674" w:tentative="1">
      <w:start w:val="1"/>
      <w:numFmt w:val="bullet"/>
      <w:lvlText w:val=""/>
      <w:lvlJc w:val="left"/>
      <w:pPr>
        <w:ind w:left="6480" w:hanging="360"/>
      </w:pPr>
      <w:rPr>
        <w:rFonts w:ascii="Wingdings" w:hAnsi="Wingdings" w:hint="default"/>
      </w:rPr>
    </w:lvl>
  </w:abstractNum>
  <w:abstractNum w:abstractNumId="19" w15:restartNumberingAfterBreak="0">
    <w:nsid w:val="4A50143D"/>
    <w:multiLevelType w:val="hybridMultilevel"/>
    <w:tmpl w:val="151C491A"/>
    <w:lvl w:ilvl="0" w:tplc="DEBA38A6">
      <w:start w:val="1"/>
      <w:numFmt w:val="bullet"/>
      <w:lvlText w:val="–"/>
      <w:lvlJc w:val="left"/>
      <w:pPr>
        <w:ind w:left="720" w:hanging="360"/>
      </w:pPr>
      <w:rPr>
        <w:rFonts w:ascii="Times New Roman" w:eastAsia="Times New Roman" w:hAnsi="Times New Roman" w:cs="Times New Roman" w:hint="default"/>
        <w:color w:val="auto"/>
      </w:rPr>
    </w:lvl>
    <w:lvl w:ilvl="1" w:tplc="823A67C2" w:tentative="1">
      <w:start w:val="1"/>
      <w:numFmt w:val="bullet"/>
      <w:lvlText w:val="o"/>
      <w:lvlJc w:val="left"/>
      <w:pPr>
        <w:ind w:left="1440" w:hanging="360"/>
      </w:pPr>
      <w:rPr>
        <w:rFonts w:ascii="Courier New" w:hAnsi="Courier New" w:hint="default"/>
      </w:rPr>
    </w:lvl>
    <w:lvl w:ilvl="2" w:tplc="0DB42924" w:tentative="1">
      <w:start w:val="1"/>
      <w:numFmt w:val="bullet"/>
      <w:lvlText w:val=""/>
      <w:lvlJc w:val="left"/>
      <w:pPr>
        <w:ind w:left="2160" w:hanging="360"/>
      </w:pPr>
      <w:rPr>
        <w:rFonts w:ascii="Wingdings" w:hAnsi="Wingdings" w:hint="default"/>
      </w:rPr>
    </w:lvl>
    <w:lvl w:ilvl="3" w:tplc="BF965C7C" w:tentative="1">
      <w:start w:val="1"/>
      <w:numFmt w:val="bullet"/>
      <w:lvlText w:val=""/>
      <w:lvlJc w:val="left"/>
      <w:pPr>
        <w:ind w:left="2880" w:hanging="360"/>
      </w:pPr>
      <w:rPr>
        <w:rFonts w:ascii="Symbol" w:hAnsi="Symbol" w:hint="default"/>
      </w:rPr>
    </w:lvl>
    <w:lvl w:ilvl="4" w:tplc="9A80A0C0" w:tentative="1">
      <w:start w:val="1"/>
      <w:numFmt w:val="bullet"/>
      <w:lvlText w:val="o"/>
      <w:lvlJc w:val="left"/>
      <w:pPr>
        <w:ind w:left="3600" w:hanging="360"/>
      </w:pPr>
      <w:rPr>
        <w:rFonts w:ascii="Courier New" w:hAnsi="Courier New" w:hint="default"/>
      </w:rPr>
    </w:lvl>
    <w:lvl w:ilvl="5" w:tplc="52806ECE" w:tentative="1">
      <w:start w:val="1"/>
      <w:numFmt w:val="bullet"/>
      <w:lvlText w:val=""/>
      <w:lvlJc w:val="left"/>
      <w:pPr>
        <w:ind w:left="4320" w:hanging="360"/>
      </w:pPr>
      <w:rPr>
        <w:rFonts w:ascii="Wingdings" w:hAnsi="Wingdings" w:hint="default"/>
      </w:rPr>
    </w:lvl>
    <w:lvl w:ilvl="6" w:tplc="4AB68A3A" w:tentative="1">
      <w:start w:val="1"/>
      <w:numFmt w:val="bullet"/>
      <w:lvlText w:val=""/>
      <w:lvlJc w:val="left"/>
      <w:pPr>
        <w:ind w:left="5040" w:hanging="360"/>
      </w:pPr>
      <w:rPr>
        <w:rFonts w:ascii="Symbol" w:hAnsi="Symbol" w:hint="default"/>
      </w:rPr>
    </w:lvl>
    <w:lvl w:ilvl="7" w:tplc="5B7E553C" w:tentative="1">
      <w:start w:val="1"/>
      <w:numFmt w:val="bullet"/>
      <w:lvlText w:val="o"/>
      <w:lvlJc w:val="left"/>
      <w:pPr>
        <w:ind w:left="5760" w:hanging="360"/>
      </w:pPr>
      <w:rPr>
        <w:rFonts w:ascii="Courier New" w:hAnsi="Courier New" w:hint="default"/>
      </w:rPr>
    </w:lvl>
    <w:lvl w:ilvl="8" w:tplc="755A5B10" w:tentative="1">
      <w:start w:val="1"/>
      <w:numFmt w:val="bullet"/>
      <w:lvlText w:val=""/>
      <w:lvlJc w:val="left"/>
      <w:pPr>
        <w:ind w:left="6480" w:hanging="360"/>
      </w:pPr>
      <w:rPr>
        <w:rFonts w:ascii="Wingdings" w:hAnsi="Wingdings" w:hint="default"/>
      </w:rPr>
    </w:lvl>
  </w:abstractNum>
  <w:abstractNum w:abstractNumId="20" w15:restartNumberingAfterBreak="0">
    <w:nsid w:val="52FC4DD5"/>
    <w:multiLevelType w:val="hybridMultilevel"/>
    <w:tmpl w:val="A1F00274"/>
    <w:lvl w:ilvl="0" w:tplc="FFFFFFFF">
      <w:start w:val="1"/>
      <w:numFmt w:val="bullet"/>
      <w:lvlText w:val="-"/>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4A0F18"/>
    <w:multiLevelType w:val="hybridMultilevel"/>
    <w:tmpl w:val="7F04647C"/>
    <w:lvl w:ilvl="0" w:tplc="892ABA18">
      <w:start w:val="1"/>
      <w:numFmt w:val="bullet"/>
      <w:lvlText w:val=""/>
      <w:lvlJc w:val="left"/>
      <w:pPr>
        <w:ind w:left="720" w:hanging="360"/>
      </w:pPr>
      <w:rPr>
        <w:rFonts w:ascii="Symbol" w:hAnsi="Symbol" w:hint="default"/>
      </w:rPr>
    </w:lvl>
    <w:lvl w:ilvl="1" w:tplc="BF6665C4" w:tentative="1">
      <w:start w:val="1"/>
      <w:numFmt w:val="bullet"/>
      <w:lvlText w:val="o"/>
      <w:lvlJc w:val="left"/>
      <w:pPr>
        <w:ind w:left="1440" w:hanging="360"/>
      </w:pPr>
      <w:rPr>
        <w:rFonts w:ascii="Courier New" w:hAnsi="Courier New" w:hint="default"/>
      </w:rPr>
    </w:lvl>
    <w:lvl w:ilvl="2" w:tplc="933E18B8" w:tentative="1">
      <w:start w:val="1"/>
      <w:numFmt w:val="bullet"/>
      <w:lvlText w:val=""/>
      <w:lvlJc w:val="left"/>
      <w:pPr>
        <w:ind w:left="2160" w:hanging="360"/>
      </w:pPr>
      <w:rPr>
        <w:rFonts w:ascii="Wingdings" w:hAnsi="Wingdings" w:hint="default"/>
      </w:rPr>
    </w:lvl>
    <w:lvl w:ilvl="3" w:tplc="C67C2DAC" w:tentative="1">
      <w:start w:val="1"/>
      <w:numFmt w:val="bullet"/>
      <w:lvlText w:val=""/>
      <w:lvlJc w:val="left"/>
      <w:pPr>
        <w:ind w:left="2880" w:hanging="360"/>
      </w:pPr>
      <w:rPr>
        <w:rFonts w:ascii="Symbol" w:hAnsi="Symbol" w:hint="default"/>
      </w:rPr>
    </w:lvl>
    <w:lvl w:ilvl="4" w:tplc="88021B6C" w:tentative="1">
      <w:start w:val="1"/>
      <w:numFmt w:val="bullet"/>
      <w:lvlText w:val="o"/>
      <w:lvlJc w:val="left"/>
      <w:pPr>
        <w:ind w:left="3600" w:hanging="360"/>
      </w:pPr>
      <w:rPr>
        <w:rFonts w:ascii="Courier New" w:hAnsi="Courier New" w:hint="default"/>
      </w:rPr>
    </w:lvl>
    <w:lvl w:ilvl="5" w:tplc="568A843C" w:tentative="1">
      <w:start w:val="1"/>
      <w:numFmt w:val="bullet"/>
      <w:lvlText w:val=""/>
      <w:lvlJc w:val="left"/>
      <w:pPr>
        <w:ind w:left="4320" w:hanging="360"/>
      </w:pPr>
      <w:rPr>
        <w:rFonts w:ascii="Wingdings" w:hAnsi="Wingdings" w:hint="default"/>
      </w:rPr>
    </w:lvl>
    <w:lvl w:ilvl="6" w:tplc="87D80E5E" w:tentative="1">
      <w:start w:val="1"/>
      <w:numFmt w:val="bullet"/>
      <w:lvlText w:val=""/>
      <w:lvlJc w:val="left"/>
      <w:pPr>
        <w:ind w:left="5040" w:hanging="360"/>
      </w:pPr>
      <w:rPr>
        <w:rFonts w:ascii="Symbol" w:hAnsi="Symbol" w:hint="default"/>
      </w:rPr>
    </w:lvl>
    <w:lvl w:ilvl="7" w:tplc="6F7094F4" w:tentative="1">
      <w:start w:val="1"/>
      <w:numFmt w:val="bullet"/>
      <w:lvlText w:val="o"/>
      <w:lvlJc w:val="left"/>
      <w:pPr>
        <w:ind w:left="5760" w:hanging="360"/>
      </w:pPr>
      <w:rPr>
        <w:rFonts w:ascii="Courier New" w:hAnsi="Courier New" w:hint="default"/>
      </w:rPr>
    </w:lvl>
    <w:lvl w:ilvl="8" w:tplc="F3FA52F4" w:tentative="1">
      <w:start w:val="1"/>
      <w:numFmt w:val="bullet"/>
      <w:lvlText w:val=""/>
      <w:lvlJc w:val="left"/>
      <w:pPr>
        <w:ind w:left="6480" w:hanging="360"/>
      </w:pPr>
      <w:rPr>
        <w:rFonts w:ascii="Wingdings" w:hAnsi="Wingdings" w:hint="default"/>
      </w:rPr>
    </w:lvl>
  </w:abstractNum>
  <w:abstractNum w:abstractNumId="22" w15:restartNumberingAfterBreak="0">
    <w:nsid w:val="5A257708"/>
    <w:multiLevelType w:val="hybridMultilevel"/>
    <w:tmpl w:val="99AA7CAE"/>
    <w:lvl w:ilvl="0" w:tplc="8A184342">
      <w:numFmt w:val="bullet"/>
      <w:lvlText w:val="•"/>
      <w:lvlJc w:val="left"/>
      <w:pPr>
        <w:ind w:left="1004" w:hanging="360"/>
      </w:pPr>
      <w:rPr>
        <w:rFonts w:hint="default"/>
        <w:lang w:val="en-US" w:eastAsia="en-US" w:bidi="ar-SA"/>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5C5446FD"/>
    <w:multiLevelType w:val="hybridMultilevel"/>
    <w:tmpl w:val="E5929718"/>
    <w:lvl w:ilvl="0" w:tplc="8ED89FC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D36CF"/>
    <w:multiLevelType w:val="hybridMultilevel"/>
    <w:tmpl w:val="E4E84BF8"/>
    <w:lvl w:ilvl="0" w:tplc="F3B02F72">
      <w:start w:val="1"/>
      <w:numFmt w:val="bullet"/>
      <w:lvlText w:val=""/>
      <w:lvlJc w:val="left"/>
      <w:pPr>
        <w:ind w:left="720" w:hanging="360"/>
      </w:pPr>
      <w:rPr>
        <w:rFonts w:ascii="Symbol" w:hAnsi="Symbol" w:hint="default"/>
      </w:rPr>
    </w:lvl>
    <w:lvl w:ilvl="1" w:tplc="798C95B0">
      <w:start w:val="1"/>
      <w:numFmt w:val="bullet"/>
      <w:lvlText w:val=""/>
      <w:lvlJc w:val="left"/>
      <w:pPr>
        <w:ind w:left="1440" w:hanging="360"/>
      </w:pPr>
      <w:rPr>
        <w:rFonts w:ascii="Symbol" w:hAnsi="Symbol" w:hint="default"/>
      </w:rPr>
    </w:lvl>
    <w:lvl w:ilvl="2" w:tplc="FC82D426" w:tentative="1">
      <w:start w:val="1"/>
      <w:numFmt w:val="bullet"/>
      <w:lvlText w:val=""/>
      <w:lvlJc w:val="left"/>
      <w:pPr>
        <w:ind w:left="2160" w:hanging="360"/>
      </w:pPr>
      <w:rPr>
        <w:rFonts w:ascii="Wingdings" w:hAnsi="Wingdings" w:hint="default"/>
      </w:rPr>
    </w:lvl>
    <w:lvl w:ilvl="3" w:tplc="45A4F7D8" w:tentative="1">
      <w:start w:val="1"/>
      <w:numFmt w:val="bullet"/>
      <w:lvlText w:val=""/>
      <w:lvlJc w:val="left"/>
      <w:pPr>
        <w:ind w:left="2880" w:hanging="360"/>
      </w:pPr>
      <w:rPr>
        <w:rFonts w:ascii="Symbol" w:hAnsi="Symbol" w:hint="default"/>
      </w:rPr>
    </w:lvl>
    <w:lvl w:ilvl="4" w:tplc="A9ACB3B2" w:tentative="1">
      <w:start w:val="1"/>
      <w:numFmt w:val="bullet"/>
      <w:lvlText w:val="o"/>
      <w:lvlJc w:val="left"/>
      <w:pPr>
        <w:ind w:left="3600" w:hanging="360"/>
      </w:pPr>
      <w:rPr>
        <w:rFonts w:ascii="Courier New" w:hAnsi="Courier New" w:hint="default"/>
      </w:rPr>
    </w:lvl>
    <w:lvl w:ilvl="5" w:tplc="656EA5D0" w:tentative="1">
      <w:start w:val="1"/>
      <w:numFmt w:val="bullet"/>
      <w:lvlText w:val=""/>
      <w:lvlJc w:val="left"/>
      <w:pPr>
        <w:ind w:left="4320" w:hanging="360"/>
      </w:pPr>
      <w:rPr>
        <w:rFonts w:ascii="Wingdings" w:hAnsi="Wingdings" w:hint="default"/>
      </w:rPr>
    </w:lvl>
    <w:lvl w:ilvl="6" w:tplc="AF3410D0" w:tentative="1">
      <w:start w:val="1"/>
      <w:numFmt w:val="bullet"/>
      <w:lvlText w:val=""/>
      <w:lvlJc w:val="left"/>
      <w:pPr>
        <w:ind w:left="5040" w:hanging="360"/>
      </w:pPr>
      <w:rPr>
        <w:rFonts w:ascii="Symbol" w:hAnsi="Symbol" w:hint="default"/>
      </w:rPr>
    </w:lvl>
    <w:lvl w:ilvl="7" w:tplc="7F8E0AD2" w:tentative="1">
      <w:start w:val="1"/>
      <w:numFmt w:val="bullet"/>
      <w:lvlText w:val="o"/>
      <w:lvlJc w:val="left"/>
      <w:pPr>
        <w:ind w:left="5760" w:hanging="360"/>
      </w:pPr>
      <w:rPr>
        <w:rFonts w:ascii="Courier New" w:hAnsi="Courier New" w:hint="default"/>
      </w:rPr>
    </w:lvl>
    <w:lvl w:ilvl="8" w:tplc="71262CE0" w:tentative="1">
      <w:start w:val="1"/>
      <w:numFmt w:val="bullet"/>
      <w:lvlText w:val=""/>
      <w:lvlJc w:val="left"/>
      <w:pPr>
        <w:ind w:left="6480" w:hanging="360"/>
      </w:pPr>
      <w:rPr>
        <w:rFonts w:ascii="Wingdings" w:hAnsi="Wingdings" w:hint="default"/>
      </w:rPr>
    </w:lvl>
  </w:abstractNum>
  <w:abstractNum w:abstractNumId="25" w15:restartNumberingAfterBreak="0">
    <w:nsid w:val="67B1448F"/>
    <w:multiLevelType w:val="hybridMultilevel"/>
    <w:tmpl w:val="AAEE0590"/>
    <w:lvl w:ilvl="0" w:tplc="31808236">
      <w:start w:val="1"/>
      <w:numFmt w:val="bullet"/>
      <w:lvlText w:val=""/>
      <w:lvlJc w:val="left"/>
      <w:pPr>
        <w:ind w:left="720" w:hanging="360"/>
      </w:pPr>
      <w:rPr>
        <w:rFonts w:ascii="Symbol" w:hAnsi="Symbol" w:hint="default"/>
      </w:rPr>
    </w:lvl>
    <w:lvl w:ilvl="1" w:tplc="E0CEBB10">
      <w:start w:val="1"/>
      <w:numFmt w:val="bullet"/>
      <w:lvlText w:val="o"/>
      <w:lvlJc w:val="left"/>
      <w:pPr>
        <w:ind w:left="1440" w:hanging="360"/>
      </w:pPr>
      <w:rPr>
        <w:rFonts w:ascii="Courier New" w:hAnsi="Courier New" w:hint="default"/>
      </w:rPr>
    </w:lvl>
    <w:lvl w:ilvl="2" w:tplc="C54475B4" w:tentative="1">
      <w:start w:val="1"/>
      <w:numFmt w:val="bullet"/>
      <w:lvlText w:val=""/>
      <w:lvlJc w:val="left"/>
      <w:pPr>
        <w:ind w:left="2160" w:hanging="360"/>
      </w:pPr>
      <w:rPr>
        <w:rFonts w:ascii="Wingdings" w:hAnsi="Wingdings" w:hint="default"/>
      </w:rPr>
    </w:lvl>
    <w:lvl w:ilvl="3" w:tplc="15E2DED0" w:tentative="1">
      <w:start w:val="1"/>
      <w:numFmt w:val="bullet"/>
      <w:lvlText w:val=""/>
      <w:lvlJc w:val="left"/>
      <w:pPr>
        <w:ind w:left="2880" w:hanging="360"/>
      </w:pPr>
      <w:rPr>
        <w:rFonts w:ascii="Symbol" w:hAnsi="Symbol" w:hint="default"/>
      </w:rPr>
    </w:lvl>
    <w:lvl w:ilvl="4" w:tplc="77A2F6B2" w:tentative="1">
      <w:start w:val="1"/>
      <w:numFmt w:val="bullet"/>
      <w:lvlText w:val="o"/>
      <w:lvlJc w:val="left"/>
      <w:pPr>
        <w:ind w:left="3600" w:hanging="360"/>
      </w:pPr>
      <w:rPr>
        <w:rFonts w:ascii="Courier New" w:hAnsi="Courier New" w:hint="default"/>
      </w:rPr>
    </w:lvl>
    <w:lvl w:ilvl="5" w:tplc="C6007C1C" w:tentative="1">
      <w:start w:val="1"/>
      <w:numFmt w:val="bullet"/>
      <w:lvlText w:val=""/>
      <w:lvlJc w:val="left"/>
      <w:pPr>
        <w:ind w:left="4320" w:hanging="360"/>
      </w:pPr>
      <w:rPr>
        <w:rFonts w:ascii="Wingdings" w:hAnsi="Wingdings" w:hint="default"/>
      </w:rPr>
    </w:lvl>
    <w:lvl w:ilvl="6" w:tplc="CB4EE42A" w:tentative="1">
      <w:start w:val="1"/>
      <w:numFmt w:val="bullet"/>
      <w:lvlText w:val=""/>
      <w:lvlJc w:val="left"/>
      <w:pPr>
        <w:ind w:left="5040" w:hanging="360"/>
      </w:pPr>
      <w:rPr>
        <w:rFonts w:ascii="Symbol" w:hAnsi="Symbol" w:hint="default"/>
      </w:rPr>
    </w:lvl>
    <w:lvl w:ilvl="7" w:tplc="DAC0BB70" w:tentative="1">
      <w:start w:val="1"/>
      <w:numFmt w:val="bullet"/>
      <w:lvlText w:val="o"/>
      <w:lvlJc w:val="left"/>
      <w:pPr>
        <w:ind w:left="5760" w:hanging="360"/>
      </w:pPr>
      <w:rPr>
        <w:rFonts w:ascii="Courier New" w:hAnsi="Courier New" w:hint="default"/>
      </w:rPr>
    </w:lvl>
    <w:lvl w:ilvl="8" w:tplc="6D0A77F6" w:tentative="1">
      <w:start w:val="1"/>
      <w:numFmt w:val="bullet"/>
      <w:lvlText w:val=""/>
      <w:lvlJc w:val="left"/>
      <w:pPr>
        <w:ind w:left="6480" w:hanging="360"/>
      </w:pPr>
      <w:rPr>
        <w:rFonts w:ascii="Wingdings" w:hAnsi="Wingdings" w:hint="default"/>
      </w:rPr>
    </w:lvl>
  </w:abstractNum>
  <w:abstractNum w:abstractNumId="2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F9337D0"/>
    <w:multiLevelType w:val="hybridMultilevel"/>
    <w:tmpl w:val="B6C885E6"/>
    <w:lvl w:ilvl="0" w:tplc="E5FC9240">
      <w:start w:val="1"/>
      <w:numFmt w:val="bullet"/>
      <w:lvlText w:val=""/>
      <w:lvlJc w:val="left"/>
      <w:pPr>
        <w:tabs>
          <w:tab w:val="num" w:pos="720"/>
        </w:tabs>
        <w:ind w:left="720" w:hanging="360"/>
      </w:pPr>
      <w:rPr>
        <w:rFonts w:ascii="Symbol" w:hAnsi="Symbol" w:hint="default"/>
      </w:rPr>
    </w:lvl>
    <w:lvl w:ilvl="1" w:tplc="41BC3C78" w:tentative="1">
      <w:start w:val="1"/>
      <w:numFmt w:val="bullet"/>
      <w:lvlText w:val="o"/>
      <w:lvlJc w:val="left"/>
      <w:pPr>
        <w:tabs>
          <w:tab w:val="num" w:pos="1440"/>
        </w:tabs>
        <w:ind w:left="1440" w:hanging="360"/>
      </w:pPr>
      <w:rPr>
        <w:rFonts w:ascii="Courier New" w:hAnsi="Courier New" w:hint="default"/>
      </w:rPr>
    </w:lvl>
    <w:lvl w:ilvl="2" w:tplc="3FBA50AA" w:tentative="1">
      <w:start w:val="1"/>
      <w:numFmt w:val="bullet"/>
      <w:lvlText w:val=""/>
      <w:lvlJc w:val="left"/>
      <w:pPr>
        <w:tabs>
          <w:tab w:val="num" w:pos="2160"/>
        </w:tabs>
        <w:ind w:left="2160" w:hanging="360"/>
      </w:pPr>
      <w:rPr>
        <w:rFonts w:ascii="Wingdings" w:hAnsi="Wingdings" w:hint="default"/>
      </w:rPr>
    </w:lvl>
    <w:lvl w:ilvl="3" w:tplc="FB00C6B0" w:tentative="1">
      <w:start w:val="1"/>
      <w:numFmt w:val="bullet"/>
      <w:lvlText w:val=""/>
      <w:lvlJc w:val="left"/>
      <w:pPr>
        <w:tabs>
          <w:tab w:val="num" w:pos="2880"/>
        </w:tabs>
        <w:ind w:left="2880" w:hanging="360"/>
      </w:pPr>
      <w:rPr>
        <w:rFonts w:ascii="Symbol" w:hAnsi="Symbol" w:hint="default"/>
      </w:rPr>
    </w:lvl>
    <w:lvl w:ilvl="4" w:tplc="0152DDDC" w:tentative="1">
      <w:start w:val="1"/>
      <w:numFmt w:val="bullet"/>
      <w:lvlText w:val="o"/>
      <w:lvlJc w:val="left"/>
      <w:pPr>
        <w:tabs>
          <w:tab w:val="num" w:pos="3600"/>
        </w:tabs>
        <w:ind w:left="3600" w:hanging="360"/>
      </w:pPr>
      <w:rPr>
        <w:rFonts w:ascii="Courier New" w:hAnsi="Courier New" w:hint="default"/>
      </w:rPr>
    </w:lvl>
    <w:lvl w:ilvl="5" w:tplc="C60C3852" w:tentative="1">
      <w:start w:val="1"/>
      <w:numFmt w:val="bullet"/>
      <w:lvlText w:val=""/>
      <w:lvlJc w:val="left"/>
      <w:pPr>
        <w:tabs>
          <w:tab w:val="num" w:pos="4320"/>
        </w:tabs>
        <w:ind w:left="4320" w:hanging="360"/>
      </w:pPr>
      <w:rPr>
        <w:rFonts w:ascii="Wingdings" w:hAnsi="Wingdings" w:hint="default"/>
      </w:rPr>
    </w:lvl>
    <w:lvl w:ilvl="6" w:tplc="1906799A" w:tentative="1">
      <w:start w:val="1"/>
      <w:numFmt w:val="bullet"/>
      <w:lvlText w:val=""/>
      <w:lvlJc w:val="left"/>
      <w:pPr>
        <w:tabs>
          <w:tab w:val="num" w:pos="5040"/>
        </w:tabs>
        <w:ind w:left="5040" w:hanging="360"/>
      </w:pPr>
      <w:rPr>
        <w:rFonts w:ascii="Symbol" w:hAnsi="Symbol" w:hint="default"/>
      </w:rPr>
    </w:lvl>
    <w:lvl w:ilvl="7" w:tplc="647C4420" w:tentative="1">
      <w:start w:val="1"/>
      <w:numFmt w:val="bullet"/>
      <w:lvlText w:val="o"/>
      <w:lvlJc w:val="left"/>
      <w:pPr>
        <w:tabs>
          <w:tab w:val="num" w:pos="5760"/>
        </w:tabs>
        <w:ind w:left="5760" w:hanging="360"/>
      </w:pPr>
      <w:rPr>
        <w:rFonts w:ascii="Courier New" w:hAnsi="Courier New" w:hint="default"/>
      </w:rPr>
    </w:lvl>
    <w:lvl w:ilvl="8" w:tplc="EA624AD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856FFD"/>
    <w:multiLevelType w:val="hybridMultilevel"/>
    <w:tmpl w:val="005069CC"/>
    <w:lvl w:ilvl="0" w:tplc="0FAEF09E">
      <w:start w:val="1"/>
      <w:numFmt w:val="bullet"/>
      <w:lvlText w:val=""/>
      <w:lvlJc w:val="left"/>
      <w:pPr>
        <w:ind w:left="720" w:hanging="360"/>
      </w:pPr>
      <w:rPr>
        <w:rFonts w:ascii="Symbol" w:hAnsi="Symbol" w:hint="default"/>
      </w:rPr>
    </w:lvl>
    <w:lvl w:ilvl="1" w:tplc="94E4928E" w:tentative="1">
      <w:start w:val="1"/>
      <w:numFmt w:val="bullet"/>
      <w:lvlText w:val="o"/>
      <w:lvlJc w:val="left"/>
      <w:pPr>
        <w:ind w:left="1440" w:hanging="360"/>
      </w:pPr>
      <w:rPr>
        <w:rFonts w:ascii="Courier New" w:hAnsi="Courier New" w:cs="Courier New" w:hint="default"/>
      </w:rPr>
    </w:lvl>
    <w:lvl w:ilvl="2" w:tplc="FDDC79D8" w:tentative="1">
      <w:start w:val="1"/>
      <w:numFmt w:val="bullet"/>
      <w:lvlText w:val=""/>
      <w:lvlJc w:val="left"/>
      <w:pPr>
        <w:ind w:left="2160" w:hanging="360"/>
      </w:pPr>
      <w:rPr>
        <w:rFonts w:ascii="Wingdings" w:hAnsi="Wingdings" w:hint="default"/>
      </w:rPr>
    </w:lvl>
    <w:lvl w:ilvl="3" w:tplc="DEB0C8B2" w:tentative="1">
      <w:start w:val="1"/>
      <w:numFmt w:val="bullet"/>
      <w:lvlText w:val=""/>
      <w:lvlJc w:val="left"/>
      <w:pPr>
        <w:ind w:left="2880" w:hanging="360"/>
      </w:pPr>
      <w:rPr>
        <w:rFonts w:ascii="Symbol" w:hAnsi="Symbol" w:hint="default"/>
      </w:rPr>
    </w:lvl>
    <w:lvl w:ilvl="4" w:tplc="FC46BB66" w:tentative="1">
      <w:start w:val="1"/>
      <w:numFmt w:val="bullet"/>
      <w:lvlText w:val="o"/>
      <w:lvlJc w:val="left"/>
      <w:pPr>
        <w:ind w:left="3600" w:hanging="360"/>
      </w:pPr>
      <w:rPr>
        <w:rFonts w:ascii="Courier New" w:hAnsi="Courier New" w:cs="Courier New" w:hint="default"/>
      </w:rPr>
    </w:lvl>
    <w:lvl w:ilvl="5" w:tplc="D4FA38AE" w:tentative="1">
      <w:start w:val="1"/>
      <w:numFmt w:val="bullet"/>
      <w:lvlText w:val=""/>
      <w:lvlJc w:val="left"/>
      <w:pPr>
        <w:ind w:left="4320" w:hanging="360"/>
      </w:pPr>
      <w:rPr>
        <w:rFonts w:ascii="Wingdings" w:hAnsi="Wingdings" w:hint="default"/>
      </w:rPr>
    </w:lvl>
    <w:lvl w:ilvl="6" w:tplc="D9A89FAC" w:tentative="1">
      <w:start w:val="1"/>
      <w:numFmt w:val="bullet"/>
      <w:lvlText w:val=""/>
      <w:lvlJc w:val="left"/>
      <w:pPr>
        <w:ind w:left="5040" w:hanging="360"/>
      </w:pPr>
      <w:rPr>
        <w:rFonts w:ascii="Symbol" w:hAnsi="Symbol" w:hint="default"/>
      </w:rPr>
    </w:lvl>
    <w:lvl w:ilvl="7" w:tplc="183ABC28" w:tentative="1">
      <w:start w:val="1"/>
      <w:numFmt w:val="bullet"/>
      <w:lvlText w:val="o"/>
      <w:lvlJc w:val="left"/>
      <w:pPr>
        <w:ind w:left="5760" w:hanging="360"/>
      </w:pPr>
      <w:rPr>
        <w:rFonts w:ascii="Courier New" w:hAnsi="Courier New" w:cs="Courier New" w:hint="default"/>
      </w:rPr>
    </w:lvl>
    <w:lvl w:ilvl="8" w:tplc="E5BCE1B6" w:tentative="1">
      <w:start w:val="1"/>
      <w:numFmt w:val="bullet"/>
      <w:lvlText w:val=""/>
      <w:lvlJc w:val="left"/>
      <w:pPr>
        <w:ind w:left="6480" w:hanging="360"/>
      </w:pPr>
      <w:rPr>
        <w:rFonts w:ascii="Wingdings" w:hAnsi="Wingdings" w:hint="default"/>
      </w:rPr>
    </w:lvl>
  </w:abstractNum>
  <w:abstractNum w:abstractNumId="29" w15:restartNumberingAfterBreak="0">
    <w:nsid w:val="72EF0A18"/>
    <w:multiLevelType w:val="hybridMultilevel"/>
    <w:tmpl w:val="BF84D402"/>
    <w:lvl w:ilvl="0" w:tplc="A444749A">
      <w:start w:val="1"/>
      <w:numFmt w:val="decimal"/>
      <w:lvlText w:val="%1)"/>
      <w:lvlJc w:val="left"/>
      <w:pPr>
        <w:ind w:left="720" w:hanging="360"/>
      </w:pPr>
      <w:rPr>
        <w:rFonts w:hint="default"/>
      </w:rPr>
    </w:lvl>
    <w:lvl w:ilvl="1" w:tplc="922E67C6" w:tentative="1">
      <w:start w:val="1"/>
      <w:numFmt w:val="lowerLetter"/>
      <w:lvlText w:val="%2."/>
      <w:lvlJc w:val="left"/>
      <w:pPr>
        <w:ind w:left="1440" w:hanging="360"/>
      </w:pPr>
    </w:lvl>
    <w:lvl w:ilvl="2" w:tplc="90660620" w:tentative="1">
      <w:start w:val="1"/>
      <w:numFmt w:val="lowerRoman"/>
      <w:lvlText w:val="%3."/>
      <w:lvlJc w:val="right"/>
      <w:pPr>
        <w:ind w:left="2160" w:hanging="180"/>
      </w:pPr>
    </w:lvl>
    <w:lvl w:ilvl="3" w:tplc="4C025840" w:tentative="1">
      <w:start w:val="1"/>
      <w:numFmt w:val="decimal"/>
      <w:lvlText w:val="%4."/>
      <w:lvlJc w:val="left"/>
      <w:pPr>
        <w:ind w:left="2880" w:hanging="360"/>
      </w:pPr>
    </w:lvl>
    <w:lvl w:ilvl="4" w:tplc="22CC2E7C" w:tentative="1">
      <w:start w:val="1"/>
      <w:numFmt w:val="lowerLetter"/>
      <w:lvlText w:val="%5."/>
      <w:lvlJc w:val="left"/>
      <w:pPr>
        <w:ind w:left="3600" w:hanging="360"/>
      </w:pPr>
    </w:lvl>
    <w:lvl w:ilvl="5" w:tplc="D42088B8" w:tentative="1">
      <w:start w:val="1"/>
      <w:numFmt w:val="lowerRoman"/>
      <w:lvlText w:val="%6."/>
      <w:lvlJc w:val="right"/>
      <w:pPr>
        <w:ind w:left="4320" w:hanging="180"/>
      </w:pPr>
    </w:lvl>
    <w:lvl w:ilvl="6" w:tplc="7D42ED24" w:tentative="1">
      <w:start w:val="1"/>
      <w:numFmt w:val="decimal"/>
      <w:lvlText w:val="%7."/>
      <w:lvlJc w:val="left"/>
      <w:pPr>
        <w:ind w:left="5040" w:hanging="360"/>
      </w:pPr>
    </w:lvl>
    <w:lvl w:ilvl="7" w:tplc="2D5C93EE" w:tentative="1">
      <w:start w:val="1"/>
      <w:numFmt w:val="lowerLetter"/>
      <w:lvlText w:val="%8."/>
      <w:lvlJc w:val="left"/>
      <w:pPr>
        <w:ind w:left="5760" w:hanging="360"/>
      </w:pPr>
    </w:lvl>
    <w:lvl w:ilvl="8" w:tplc="93687ADC" w:tentative="1">
      <w:start w:val="1"/>
      <w:numFmt w:val="lowerRoman"/>
      <w:lvlText w:val="%9."/>
      <w:lvlJc w:val="right"/>
      <w:pPr>
        <w:ind w:left="6480" w:hanging="180"/>
      </w:pPr>
    </w:lvl>
  </w:abstractNum>
  <w:abstractNum w:abstractNumId="30" w15:restartNumberingAfterBreak="0">
    <w:nsid w:val="76D760F9"/>
    <w:multiLevelType w:val="hybridMultilevel"/>
    <w:tmpl w:val="B378923E"/>
    <w:lvl w:ilvl="0" w:tplc="D9A29354">
      <w:start w:val="1"/>
      <w:numFmt w:val="bullet"/>
      <w:pStyle w:val="Style2"/>
      <w:lvlText w:val=""/>
      <w:lvlJc w:val="left"/>
      <w:pPr>
        <w:ind w:left="720" w:hanging="360"/>
      </w:pPr>
      <w:rPr>
        <w:rFonts w:ascii="Symbol" w:hAnsi="Symbol" w:hint="default"/>
      </w:rPr>
    </w:lvl>
    <w:lvl w:ilvl="1" w:tplc="9F6ECFDE" w:tentative="1">
      <w:start w:val="1"/>
      <w:numFmt w:val="bullet"/>
      <w:lvlText w:val="o"/>
      <w:lvlJc w:val="left"/>
      <w:pPr>
        <w:ind w:left="1440" w:hanging="360"/>
      </w:pPr>
      <w:rPr>
        <w:rFonts w:ascii="Courier New" w:hAnsi="Courier New" w:cs="Courier New" w:hint="default"/>
      </w:rPr>
    </w:lvl>
    <w:lvl w:ilvl="2" w:tplc="130C0396" w:tentative="1">
      <w:start w:val="1"/>
      <w:numFmt w:val="bullet"/>
      <w:lvlText w:val=""/>
      <w:lvlJc w:val="left"/>
      <w:pPr>
        <w:ind w:left="2160" w:hanging="360"/>
      </w:pPr>
      <w:rPr>
        <w:rFonts w:ascii="Wingdings" w:hAnsi="Wingdings" w:hint="default"/>
      </w:rPr>
    </w:lvl>
    <w:lvl w:ilvl="3" w:tplc="F90E4C1C" w:tentative="1">
      <w:start w:val="1"/>
      <w:numFmt w:val="bullet"/>
      <w:lvlText w:val=""/>
      <w:lvlJc w:val="left"/>
      <w:pPr>
        <w:ind w:left="2880" w:hanging="360"/>
      </w:pPr>
      <w:rPr>
        <w:rFonts w:ascii="Symbol" w:hAnsi="Symbol" w:hint="default"/>
      </w:rPr>
    </w:lvl>
    <w:lvl w:ilvl="4" w:tplc="499C6A84" w:tentative="1">
      <w:start w:val="1"/>
      <w:numFmt w:val="bullet"/>
      <w:lvlText w:val="o"/>
      <w:lvlJc w:val="left"/>
      <w:pPr>
        <w:ind w:left="3600" w:hanging="360"/>
      </w:pPr>
      <w:rPr>
        <w:rFonts w:ascii="Courier New" w:hAnsi="Courier New" w:cs="Courier New" w:hint="default"/>
      </w:rPr>
    </w:lvl>
    <w:lvl w:ilvl="5" w:tplc="B09E13D6" w:tentative="1">
      <w:start w:val="1"/>
      <w:numFmt w:val="bullet"/>
      <w:lvlText w:val=""/>
      <w:lvlJc w:val="left"/>
      <w:pPr>
        <w:ind w:left="4320" w:hanging="360"/>
      </w:pPr>
      <w:rPr>
        <w:rFonts w:ascii="Wingdings" w:hAnsi="Wingdings" w:hint="default"/>
      </w:rPr>
    </w:lvl>
    <w:lvl w:ilvl="6" w:tplc="38B62FD8" w:tentative="1">
      <w:start w:val="1"/>
      <w:numFmt w:val="bullet"/>
      <w:lvlText w:val=""/>
      <w:lvlJc w:val="left"/>
      <w:pPr>
        <w:ind w:left="5040" w:hanging="360"/>
      </w:pPr>
      <w:rPr>
        <w:rFonts w:ascii="Symbol" w:hAnsi="Symbol" w:hint="default"/>
      </w:rPr>
    </w:lvl>
    <w:lvl w:ilvl="7" w:tplc="FD74E77A" w:tentative="1">
      <w:start w:val="1"/>
      <w:numFmt w:val="bullet"/>
      <w:lvlText w:val="o"/>
      <w:lvlJc w:val="left"/>
      <w:pPr>
        <w:ind w:left="5760" w:hanging="360"/>
      </w:pPr>
      <w:rPr>
        <w:rFonts w:ascii="Courier New" w:hAnsi="Courier New" w:cs="Courier New" w:hint="default"/>
      </w:rPr>
    </w:lvl>
    <w:lvl w:ilvl="8" w:tplc="EB90845C" w:tentative="1">
      <w:start w:val="1"/>
      <w:numFmt w:val="bullet"/>
      <w:lvlText w:val=""/>
      <w:lvlJc w:val="left"/>
      <w:pPr>
        <w:ind w:left="6480" w:hanging="360"/>
      </w:pPr>
      <w:rPr>
        <w:rFonts w:ascii="Wingdings" w:hAnsi="Wingdings" w:hint="default"/>
      </w:rPr>
    </w:lvl>
  </w:abstractNum>
  <w:abstractNum w:abstractNumId="31" w15:restartNumberingAfterBreak="0">
    <w:nsid w:val="7A100D28"/>
    <w:multiLevelType w:val="hybridMultilevel"/>
    <w:tmpl w:val="2F94C0BA"/>
    <w:lvl w:ilvl="0" w:tplc="98881E8C">
      <w:start w:val="1"/>
      <w:numFmt w:val="upperLetter"/>
      <w:lvlText w:val="%1."/>
      <w:lvlJc w:val="left"/>
      <w:pPr>
        <w:ind w:left="5670" w:hanging="5670"/>
      </w:pPr>
      <w:rPr>
        <w:rFonts w:hint="default"/>
        <w:b/>
      </w:rPr>
    </w:lvl>
    <w:lvl w:ilvl="1" w:tplc="6AACC83C">
      <w:start w:val="1"/>
      <w:numFmt w:val="decimal"/>
      <w:lvlText w:val="%2."/>
      <w:lvlJc w:val="left"/>
      <w:pPr>
        <w:ind w:left="1200" w:hanging="570"/>
      </w:pPr>
      <w:rPr>
        <w:rFonts w:hint="default"/>
        <w:b/>
        <w:i w:val="0"/>
      </w:rPr>
    </w:lvl>
    <w:lvl w:ilvl="2" w:tplc="355EB4EE" w:tentative="1">
      <w:start w:val="1"/>
      <w:numFmt w:val="lowerRoman"/>
      <w:lvlText w:val="%3."/>
      <w:lvlJc w:val="right"/>
      <w:pPr>
        <w:ind w:left="2160" w:hanging="180"/>
      </w:pPr>
    </w:lvl>
    <w:lvl w:ilvl="3" w:tplc="C0FAC1FC" w:tentative="1">
      <w:start w:val="1"/>
      <w:numFmt w:val="decimal"/>
      <w:lvlText w:val="%4."/>
      <w:lvlJc w:val="left"/>
      <w:pPr>
        <w:ind w:left="2880" w:hanging="360"/>
      </w:pPr>
    </w:lvl>
    <w:lvl w:ilvl="4" w:tplc="615C6FEE" w:tentative="1">
      <w:start w:val="1"/>
      <w:numFmt w:val="lowerLetter"/>
      <w:lvlText w:val="%5."/>
      <w:lvlJc w:val="left"/>
      <w:pPr>
        <w:ind w:left="3600" w:hanging="360"/>
      </w:pPr>
    </w:lvl>
    <w:lvl w:ilvl="5" w:tplc="94761CB8" w:tentative="1">
      <w:start w:val="1"/>
      <w:numFmt w:val="lowerRoman"/>
      <w:lvlText w:val="%6."/>
      <w:lvlJc w:val="right"/>
      <w:pPr>
        <w:ind w:left="4320" w:hanging="180"/>
      </w:pPr>
    </w:lvl>
    <w:lvl w:ilvl="6" w:tplc="2DA4651A" w:tentative="1">
      <w:start w:val="1"/>
      <w:numFmt w:val="decimal"/>
      <w:lvlText w:val="%7."/>
      <w:lvlJc w:val="left"/>
      <w:pPr>
        <w:ind w:left="5040" w:hanging="360"/>
      </w:pPr>
    </w:lvl>
    <w:lvl w:ilvl="7" w:tplc="F850D866" w:tentative="1">
      <w:start w:val="1"/>
      <w:numFmt w:val="lowerLetter"/>
      <w:lvlText w:val="%8."/>
      <w:lvlJc w:val="left"/>
      <w:pPr>
        <w:ind w:left="5760" w:hanging="360"/>
      </w:pPr>
    </w:lvl>
    <w:lvl w:ilvl="8" w:tplc="5024CD24" w:tentative="1">
      <w:start w:val="1"/>
      <w:numFmt w:val="lowerRoman"/>
      <w:lvlText w:val="%9."/>
      <w:lvlJc w:val="right"/>
      <w:pPr>
        <w:ind w:left="6480" w:hanging="180"/>
      </w:pPr>
    </w:lvl>
  </w:abstractNum>
  <w:abstractNum w:abstractNumId="32" w15:restartNumberingAfterBreak="0">
    <w:nsid w:val="7BF40106"/>
    <w:multiLevelType w:val="hybridMultilevel"/>
    <w:tmpl w:val="C4187F68"/>
    <w:lvl w:ilvl="0" w:tplc="C3E813D2">
      <w:start w:val="1"/>
      <w:numFmt w:val="bullet"/>
      <w:lvlText w:val=""/>
      <w:lvlJc w:val="left"/>
      <w:pPr>
        <w:ind w:left="720" w:hanging="360"/>
      </w:pPr>
      <w:rPr>
        <w:rFonts w:ascii="Symbol" w:hAnsi="Symbol" w:hint="default"/>
      </w:rPr>
    </w:lvl>
    <w:lvl w:ilvl="1" w:tplc="A8E8407E">
      <w:start w:val="1"/>
      <w:numFmt w:val="bullet"/>
      <w:lvlText w:val="o"/>
      <w:lvlJc w:val="left"/>
      <w:pPr>
        <w:ind w:left="1440" w:hanging="360"/>
      </w:pPr>
      <w:rPr>
        <w:rFonts w:ascii="Courier New" w:hAnsi="Courier New" w:hint="default"/>
      </w:rPr>
    </w:lvl>
    <w:lvl w:ilvl="2" w:tplc="9594C328" w:tentative="1">
      <w:start w:val="1"/>
      <w:numFmt w:val="bullet"/>
      <w:lvlText w:val=""/>
      <w:lvlJc w:val="left"/>
      <w:pPr>
        <w:ind w:left="2160" w:hanging="360"/>
      </w:pPr>
      <w:rPr>
        <w:rFonts w:ascii="Wingdings" w:hAnsi="Wingdings" w:hint="default"/>
      </w:rPr>
    </w:lvl>
    <w:lvl w:ilvl="3" w:tplc="65D07086" w:tentative="1">
      <w:start w:val="1"/>
      <w:numFmt w:val="bullet"/>
      <w:lvlText w:val=""/>
      <w:lvlJc w:val="left"/>
      <w:pPr>
        <w:ind w:left="2880" w:hanging="360"/>
      </w:pPr>
      <w:rPr>
        <w:rFonts w:ascii="Symbol" w:hAnsi="Symbol" w:hint="default"/>
      </w:rPr>
    </w:lvl>
    <w:lvl w:ilvl="4" w:tplc="449EC512" w:tentative="1">
      <w:start w:val="1"/>
      <w:numFmt w:val="bullet"/>
      <w:lvlText w:val="o"/>
      <w:lvlJc w:val="left"/>
      <w:pPr>
        <w:ind w:left="3600" w:hanging="360"/>
      </w:pPr>
      <w:rPr>
        <w:rFonts w:ascii="Courier New" w:hAnsi="Courier New" w:hint="default"/>
      </w:rPr>
    </w:lvl>
    <w:lvl w:ilvl="5" w:tplc="F2EAAFFE" w:tentative="1">
      <w:start w:val="1"/>
      <w:numFmt w:val="bullet"/>
      <w:lvlText w:val=""/>
      <w:lvlJc w:val="left"/>
      <w:pPr>
        <w:ind w:left="4320" w:hanging="360"/>
      </w:pPr>
      <w:rPr>
        <w:rFonts w:ascii="Wingdings" w:hAnsi="Wingdings" w:hint="default"/>
      </w:rPr>
    </w:lvl>
    <w:lvl w:ilvl="6" w:tplc="39E6A02A" w:tentative="1">
      <w:start w:val="1"/>
      <w:numFmt w:val="bullet"/>
      <w:lvlText w:val=""/>
      <w:lvlJc w:val="left"/>
      <w:pPr>
        <w:ind w:left="5040" w:hanging="360"/>
      </w:pPr>
      <w:rPr>
        <w:rFonts w:ascii="Symbol" w:hAnsi="Symbol" w:hint="default"/>
      </w:rPr>
    </w:lvl>
    <w:lvl w:ilvl="7" w:tplc="05A04BBA" w:tentative="1">
      <w:start w:val="1"/>
      <w:numFmt w:val="bullet"/>
      <w:lvlText w:val="o"/>
      <w:lvlJc w:val="left"/>
      <w:pPr>
        <w:ind w:left="5760" w:hanging="360"/>
      </w:pPr>
      <w:rPr>
        <w:rFonts w:ascii="Courier New" w:hAnsi="Courier New" w:hint="default"/>
      </w:rPr>
    </w:lvl>
    <w:lvl w:ilvl="8" w:tplc="A262049E" w:tentative="1">
      <w:start w:val="1"/>
      <w:numFmt w:val="bullet"/>
      <w:lvlText w:val=""/>
      <w:lvlJc w:val="left"/>
      <w:pPr>
        <w:ind w:left="6480" w:hanging="360"/>
      </w:pPr>
      <w:rPr>
        <w:rFonts w:ascii="Wingdings" w:hAnsi="Wingdings" w:hint="default"/>
      </w:rPr>
    </w:lvl>
  </w:abstractNum>
  <w:num w:numId="1" w16cid:durableId="778335505">
    <w:abstractNumId w:val="0"/>
    <w:lvlOverride w:ilvl="0">
      <w:lvl w:ilvl="0">
        <w:start w:val="1"/>
        <w:numFmt w:val="bullet"/>
        <w:lvlText w:val="-"/>
        <w:legacy w:legacy="1" w:legacySpace="0" w:legacyIndent="360"/>
        <w:lvlJc w:val="left"/>
        <w:pPr>
          <w:ind w:left="360" w:hanging="360"/>
        </w:pPr>
      </w:lvl>
    </w:lvlOverride>
  </w:num>
  <w:num w:numId="2" w16cid:durableId="708922110">
    <w:abstractNumId w:val="26"/>
  </w:num>
  <w:num w:numId="3" w16cid:durableId="1680817162">
    <w:abstractNumId w:val="14"/>
  </w:num>
  <w:num w:numId="4" w16cid:durableId="588782279">
    <w:abstractNumId w:val="8"/>
  </w:num>
  <w:num w:numId="5" w16cid:durableId="1284649177">
    <w:abstractNumId w:val="7"/>
  </w:num>
  <w:num w:numId="6" w16cid:durableId="1956279883">
    <w:abstractNumId w:val="28"/>
  </w:num>
  <w:num w:numId="7" w16cid:durableId="368116560">
    <w:abstractNumId w:val="11"/>
  </w:num>
  <w:num w:numId="8" w16cid:durableId="1431438759">
    <w:abstractNumId w:val="1"/>
  </w:num>
  <w:num w:numId="9" w16cid:durableId="910041274">
    <w:abstractNumId w:val="12"/>
  </w:num>
  <w:num w:numId="10" w16cid:durableId="270750408">
    <w:abstractNumId w:val="17"/>
  </w:num>
  <w:num w:numId="11" w16cid:durableId="546531973">
    <w:abstractNumId w:val="13"/>
  </w:num>
  <w:num w:numId="12" w16cid:durableId="592588643">
    <w:abstractNumId w:val="25"/>
  </w:num>
  <w:num w:numId="13" w16cid:durableId="878515985">
    <w:abstractNumId w:val="32"/>
  </w:num>
  <w:num w:numId="14" w16cid:durableId="1207647572">
    <w:abstractNumId w:val="4"/>
  </w:num>
  <w:num w:numId="15" w16cid:durableId="1967002384">
    <w:abstractNumId w:val="21"/>
  </w:num>
  <w:num w:numId="16" w16cid:durableId="111245587">
    <w:abstractNumId w:val="18"/>
  </w:num>
  <w:num w:numId="17" w16cid:durableId="397900262">
    <w:abstractNumId w:val="2"/>
  </w:num>
  <w:num w:numId="18" w16cid:durableId="1187864394">
    <w:abstractNumId w:val="24"/>
  </w:num>
  <w:num w:numId="19" w16cid:durableId="543174253">
    <w:abstractNumId w:val="3"/>
  </w:num>
  <w:num w:numId="20" w16cid:durableId="793787214">
    <w:abstractNumId w:val="5"/>
  </w:num>
  <w:num w:numId="21" w16cid:durableId="1201750454">
    <w:abstractNumId w:val="29"/>
  </w:num>
  <w:num w:numId="22" w16cid:durableId="468549455">
    <w:abstractNumId w:val="27"/>
  </w:num>
  <w:num w:numId="23" w16cid:durableId="13195044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53626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708806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704611">
    <w:abstractNumId w:val="19"/>
  </w:num>
  <w:num w:numId="27" w16cid:durableId="664673908">
    <w:abstractNumId w:val="31"/>
  </w:num>
  <w:num w:numId="28" w16cid:durableId="2022733532">
    <w:abstractNumId w:val="0"/>
    <w:lvlOverride w:ilvl="0">
      <w:lvl w:ilvl="0">
        <w:start w:val="1"/>
        <w:numFmt w:val="bullet"/>
        <w:lvlText w:val="-"/>
        <w:lvlJc w:val="left"/>
        <w:pPr>
          <w:tabs>
            <w:tab w:val="num" w:pos="360"/>
          </w:tabs>
          <w:ind w:left="360" w:hanging="360"/>
        </w:pPr>
      </w:lvl>
    </w:lvlOverride>
  </w:num>
  <w:num w:numId="29" w16cid:durableId="1439056914">
    <w:abstractNumId w:val="6"/>
  </w:num>
  <w:num w:numId="30" w16cid:durableId="271936085">
    <w:abstractNumId w:val="23"/>
  </w:num>
  <w:num w:numId="31" w16cid:durableId="1994676402">
    <w:abstractNumId w:val="20"/>
  </w:num>
  <w:num w:numId="32" w16cid:durableId="390427443">
    <w:abstractNumId w:val="9"/>
  </w:num>
  <w:num w:numId="33" w16cid:durableId="1459030495">
    <w:abstractNumId w:val="22"/>
  </w:num>
  <w:num w:numId="34" w16cid:durableId="522354636">
    <w:abstractNumId w:val="15"/>
  </w:num>
  <w:num w:numId="35" w16cid:durableId="13742274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MiEzMjMxNzA2NTSyUdpeDU4uLM/DyQAuNaAPoUVnUsAAAA"/>
    <w:docVar w:name="Registered" w:val="-1"/>
    <w:docVar w:name="Version" w:val="0"/>
  </w:docVars>
  <w:rsids>
    <w:rsidRoot w:val="004E3AC5"/>
    <w:rsid w:val="00037E75"/>
    <w:rsid w:val="0005159E"/>
    <w:rsid w:val="00055D94"/>
    <w:rsid w:val="000A364F"/>
    <w:rsid w:val="001245D6"/>
    <w:rsid w:val="00173B96"/>
    <w:rsid w:val="001900BE"/>
    <w:rsid w:val="001C0F90"/>
    <w:rsid w:val="001E1D28"/>
    <w:rsid w:val="001E2F02"/>
    <w:rsid w:val="001E34D6"/>
    <w:rsid w:val="00221A4F"/>
    <w:rsid w:val="002405B8"/>
    <w:rsid w:val="00241FDF"/>
    <w:rsid w:val="00270219"/>
    <w:rsid w:val="00286D4D"/>
    <w:rsid w:val="00295B8E"/>
    <w:rsid w:val="002A53F5"/>
    <w:rsid w:val="002B2DEB"/>
    <w:rsid w:val="002C57D5"/>
    <w:rsid w:val="002E5561"/>
    <w:rsid w:val="002F5755"/>
    <w:rsid w:val="0030084F"/>
    <w:rsid w:val="00305BC9"/>
    <w:rsid w:val="00332E24"/>
    <w:rsid w:val="00351189"/>
    <w:rsid w:val="00374943"/>
    <w:rsid w:val="00383757"/>
    <w:rsid w:val="0039799D"/>
    <w:rsid w:val="003A1FF2"/>
    <w:rsid w:val="003A7EC0"/>
    <w:rsid w:val="003D2C15"/>
    <w:rsid w:val="003F5790"/>
    <w:rsid w:val="00400DAF"/>
    <w:rsid w:val="00412203"/>
    <w:rsid w:val="00456C1D"/>
    <w:rsid w:val="0046495D"/>
    <w:rsid w:val="00471C2D"/>
    <w:rsid w:val="0047669F"/>
    <w:rsid w:val="0049375C"/>
    <w:rsid w:val="004A4CAA"/>
    <w:rsid w:val="004A645E"/>
    <w:rsid w:val="004C1A73"/>
    <w:rsid w:val="004E3AC5"/>
    <w:rsid w:val="004E4812"/>
    <w:rsid w:val="00547680"/>
    <w:rsid w:val="005954DD"/>
    <w:rsid w:val="005B56F6"/>
    <w:rsid w:val="005E65A6"/>
    <w:rsid w:val="005E7D43"/>
    <w:rsid w:val="005F2191"/>
    <w:rsid w:val="00601F61"/>
    <w:rsid w:val="00603947"/>
    <w:rsid w:val="00630AF1"/>
    <w:rsid w:val="006509EF"/>
    <w:rsid w:val="0068068D"/>
    <w:rsid w:val="006809DE"/>
    <w:rsid w:val="006F3B9B"/>
    <w:rsid w:val="0071659B"/>
    <w:rsid w:val="00716CFC"/>
    <w:rsid w:val="007203E9"/>
    <w:rsid w:val="0073461D"/>
    <w:rsid w:val="00744D44"/>
    <w:rsid w:val="00751462"/>
    <w:rsid w:val="00770706"/>
    <w:rsid w:val="007A27CC"/>
    <w:rsid w:val="007A6E73"/>
    <w:rsid w:val="007D0A74"/>
    <w:rsid w:val="008268D3"/>
    <w:rsid w:val="0084689F"/>
    <w:rsid w:val="008609B6"/>
    <w:rsid w:val="00892998"/>
    <w:rsid w:val="008A1F1F"/>
    <w:rsid w:val="008C0995"/>
    <w:rsid w:val="008C1983"/>
    <w:rsid w:val="008E0CA2"/>
    <w:rsid w:val="008F2B0C"/>
    <w:rsid w:val="00907ADD"/>
    <w:rsid w:val="009479C0"/>
    <w:rsid w:val="009738BD"/>
    <w:rsid w:val="009B59E3"/>
    <w:rsid w:val="009B6F9E"/>
    <w:rsid w:val="009C3B65"/>
    <w:rsid w:val="009F1110"/>
    <w:rsid w:val="00A05019"/>
    <w:rsid w:val="00A62774"/>
    <w:rsid w:val="00A74903"/>
    <w:rsid w:val="00AB209F"/>
    <w:rsid w:val="00AE5731"/>
    <w:rsid w:val="00AF4F0F"/>
    <w:rsid w:val="00AF7AA3"/>
    <w:rsid w:val="00B17649"/>
    <w:rsid w:val="00B17F1E"/>
    <w:rsid w:val="00B52BB8"/>
    <w:rsid w:val="00B5303E"/>
    <w:rsid w:val="00B86A5A"/>
    <w:rsid w:val="00B9533C"/>
    <w:rsid w:val="00BA2C15"/>
    <w:rsid w:val="00BC4814"/>
    <w:rsid w:val="00BE28C4"/>
    <w:rsid w:val="00C313CE"/>
    <w:rsid w:val="00C33843"/>
    <w:rsid w:val="00C55539"/>
    <w:rsid w:val="00C61972"/>
    <w:rsid w:val="00C653BA"/>
    <w:rsid w:val="00C87832"/>
    <w:rsid w:val="00C93C47"/>
    <w:rsid w:val="00CC471A"/>
    <w:rsid w:val="00CD10EF"/>
    <w:rsid w:val="00CD1321"/>
    <w:rsid w:val="00D27891"/>
    <w:rsid w:val="00D51AB7"/>
    <w:rsid w:val="00D61FEF"/>
    <w:rsid w:val="00D67086"/>
    <w:rsid w:val="00D70EE7"/>
    <w:rsid w:val="00DA785A"/>
    <w:rsid w:val="00DB202F"/>
    <w:rsid w:val="00DF10B6"/>
    <w:rsid w:val="00E03272"/>
    <w:rsid w:val="00E156D1"/>
    <w:rsid w:val="00E3056C"/>
    <w:rsid w:val="00E32992"/>
    <w:rsid w:val="00E403D2"/>
    <w:rsid w:val="00E4300D"/>
    <w:rsid w:val="00E57B09"/>
    <w:rsid w:val="00E61383"/>
    <w:rsid w:val="00E65B27"/>
    <w:rsid w:val="00EC39F8"/>
    <w:rsid w:val="00EE3567"/>
    <w:rsid w:val="00EF1959"/>
    <w:rsid w:val="00EF44BD"/>
    <w:rsid w:val="00F30590"/>
    <w:rsid w:val="00F34FDD"/>
    <w:rsid w:val="00F4149A"/>
    <w:rsid w:val="00F653AE"/>
    <w:rsid w:val="00F83E25"/>
    <w:rsid w:val="00FB4F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8853244"/>
  <w15:docId w15:val="{1ADE045A-1774-4A5B-81A3-7B45A24A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tabs>
        <w:tab w:val="left" w:pos="567"/>
      </w:tabs>
      <w:spacing w:line="260" w:lineRule="exact"/>
    </w:pPr>
    <w:rPr>
      <w:sz w:val="22"/>
      <w:lang w:val="pl-PL" w:eastAsia="pl-PL" w:bidi="pl-PL"/>
    </w:rPr>
  </w:style>
  <w:style w:type="paragraph" w:styleId="Nagwek1">
    <w:name w:val="heading 1"/>
    <w:basedOn w:val="Normalny"/>
    <w:next w:val="Normalny"/>
    <w:qFormat/>
    <w:pPr>
      <w:spacing w:before="240" w:after="120"/>
      <w:ind w:left="357" w:hanging="357"/>
      <w:outlineLvl w:val="0"/>
    </w:pPr>
    <w:rPr>
      <w:b/>
      <w:caps/>
      <w:sz w:val="26"/>
    </w:rPr>
  </w:style>
  <w:style w:type="paragraph" w:styleId="Nagwek2">
    <w:name w:val="heading 2"/>
    <w:basedOn w:val="Normalny"/>
    <w:next w:val="Normalny"/>
    <w:qFormat/>
    <w:pPr>
      <w:keepNext/>
      <w:spacing w:before="240" w:after="60"/>
      <w:outlineLvl w:val="1"/>
    </w:pPr>
    <w:rPr>
      <w:rFonts w:ascii="Helvetica" w:hAnsi="Helvetica"/>
      <w:b/>
      <w:i/>
      <w:sz w:val="24"/>
    </w:rPr>
  </w:style>
  <w:style w:type="paragraph" w:styleId="Nagwek3">
    <w:name w:val="heading 3"/>
    <w:basedOn w:val="Normalny"/>
    <w:next w:val="Normalny"/>
    <w:qFormat/>
    <w:pPr>
      <w:keepNext/>
      <w:keepLines/>
      <w:spacing w:before="120" w:after="80"/>
      <w:outlineLvl w:val="2"/>
    </w:pPr>
    <w:rPr>
      <w:b/>
      <w:kern w:val="28"/>
      <w:sz w:val="24"/>
    </w:rPr>
  </w:style>
  <w:style w:type="paragraph" w:styleId="Nagwek4">
    <w:name w:val="heading 4"/>
    <w:basedOn w:val="Normalny"/>
    <w:next w:val="Normalny"/>
    <w:qFormat/>
    <w:pPr>
      <w:keepNext/>
      <w:jc w:val="both"/>
      <w:outlineLvl w:val="3"/>
    </w:pPr>
    <w:rPr>
      <w:b/>
      <w:noProof/>
    </w:rPr>
  </w:style>
  <w:style w:type="paragraph" w:styleId="Nagwek5">
    <w:name w:val="heading 5"/>
    <w:basedOn w:val="Normalny"/>
    <w:next w:val="Normalny"/>
    <w:qFormat/>
    <w:pPr>
      <w:keepNext/>
      <w:jc w:val="both"/>
      <w:outlineLvl w:val="4"/>
    </w:pPr>
    <w:rPr>
      <w:noProof/>
    </w:rPr>
  </w:style>
  <w:style w:type="paragraph" w:styleId="Nagwek6">
    <w:name w:val="heading 6"/>
    <w:basedOn w:val="Normalny"/>
    <w:next w:val="Normalny"/>
    <w:qFormat/>
    <w:pPr>
      <w:keepNext/>
      <w:tabs>
        <w:tab w:val="left" w:pos="-720"/>
        <w:tab w:val="left" w:pos="4536"/>
      </w:tabs>
      <w:suppressAutoHyphens/>
      <w:outlineLvl w:val="5"/>
    </w:pPr>
    <w:rPr>
      <w:i/>
    </w:rPr>
  </w:style>
  <w:style w:type="paragraph" w:styleId="Nagwek7">
    <w:name w:val="heading 7"/>
    <w:basedOn w:val="Normalny"/>
    <w:next w:val="Normalny"/>
    <w:qFormat/>
    <w:pPr>
      <w:keepNext/>
      <w:tabs>
        <w:tab w:val="left" w:pos="-720"/>
        <w:tab w:val="left" w:pos="4536"/>
      </w:tabs>
      <w:suppressAutoHyphens/>
      <w:jc w:val="both"/>
      <w:outlineLvl w:val="6"/>
    </w:pPr>
    <w:rPr>
      <w:i/>
    </w:rPr>
  </w:style>
  <w:style w:type="paragraph" w:styleId="Nagwek8">
    <w:name w:val="heading 8"/>
    <w:basedOn w:val="Normalny"/>
    <w:next w:val="Normalny"/>
    <w:qFormat/>
    <w:pPr>
      <w:keepNext/>
      <w:ind w:left="567" w:hanging="567"/>
      <w:jc w:val="both"/>
      <w:outlineLvl w:val="7"/>
    </w:pPr>
    <w:rPr>
      <w:b/>
      <w:i/>
    </w:rPr>
  </w:style>
  <w:style w:type="paragraph" w:styleId="Nagwek9">
    <w:name w:val="heading 9"/>
    <w:basedOn w:val="Normalny"/>
    <w:next w:val="Normalny"/>
    <w:qFormat/>
    <w:pPr>
      <w:keepNext/>
      <w:jc w:val="both"/>
      <w:outlineLvl w:val="8"/>
    </w:pPr>
    <w:rPr>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153"/>
        <w:tab w:val="right" w:pos="8306"/>
      </w:tabs>
      <w:spacing w:line="240" w:lineRule="auto"/>
    </w:pPr>
    <w:rPr>
      <w:rFonts w:ascii="Helvetica" w:hAnsi="Helvetica"/>
      <w:sz w:val="20"/>
      <w:lang w:bidi="ar-SA"/>
    </w:rPr>
  </w:style>
  <w:style w:type="paragraph" w:styleId="Stopka">
    <w:name w:val="footer"/>
    <w:basedOn w:val="Normalny"/>
    <w:link w:val="StopkaZnak"/>
    <w:pPr>
      <w:tabs>
        <w:tab w:val="center" w:pos="4536"/>
        <w:tab w:val="center" w:pos="8930"/>
      </w:tabs>
      <w:spacing w:line="240" w:lineRule="auto"/>
    </w:pPr>
    <w:rPr>
      <w:rFonts w:ascii="Helvetica" w:hAnsi="Helvetica"/>
      <w:sz w:val="16"/>
      <w:lang w:bidi="ar-SA"/>
    </w:rPr>
  </w:style>
  <w:style w:type="character" w:styleId="Numerstrony">
    <w:name w:val="page number"/>
    <w:basedOn w:val="Domylnaczcionkaakapitu"/>
  </w:style>
  <w:style w:type="paragraph" w:styleId="Tekstpodstawowywcity">
    <w:name w:val="Body Text Indent"/>
    <w:basedOn w:val="Normalny"/>
    <w:pPr>
      <w:tabs>
        <w:tab w:val="clear" w:pos="567"/>
      </w:tabs>
      <w:autoSpaceDE w:val="0"/>
      <w:autoSpaceDN w:val="0"/>
      <w:adjustRightInd w:val="0"/>
      <w:spacing w:line="240" w:lineRule="auto"/>
      <w:ind w:left="720"/>
      <w:jc w:val="both"/>
    </w:pPr>
    <w:rPr>
      <w:szCs w:val="22"/>
    </w:rPr>
  </w:style>
  <w:style w:type="paragraph" w:styleId="Tekstpodstawowy3">
    <w:name w:val="Body Text 3"/>
    <w:basedOn w:val="Normalny"/>
    <w:pPr>
      <w:tabs>
        <w:tab w:val="clear" w:pos="567"/>
      </w:tabs>
      <w:autoSpaceDE w:val="0"/>
      <w:autoSpaceDN w:val="0"/>
      <w:adjustRightInd w:val="0"/>
      <w:spacing w:line="240" w:lineRule="auto"/>
      <w:jc w:val="both"/>
    </w:pPr>
    <w:rPr>
      <w:color w:val="0000FF"/>
      <w:szCs w:val="22"/>
    </w:rPr>
  </w:style>
  <w:style w:type="paragraph" w:styleId="Tekstpodstawowywcity2">
    <w:name w:val="Body Text Indent 2"/>
    <w:basedOn w:val="Normalny"/>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Tekstpodstawowy">
    <w:name w:val="Body Text"/>
    <w:basedOn w:val="Normalny"/>
    <w:pPr>
      <w:tabs>
        <w:tab w:val="clear" w:pos="567"/>
      </w:tabs>
      <w:spacing w:line="240" w:lineRule="auto"/>
    </w:pPr>
    <w:rPr>
      <w:i/>
      <w:color w:val="008000"/>
    </w:rPr>
  </w:style>
  <w:style w:type="paragraph" w:styleId="Tekstpodstawowy2">
    <w:name w:val="Body Text 2"/>
    <w:basedOn w:val="Normalny"/>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Odwoaniedokomentarza">
    <w:name w:val="annotation reference"/>
    <w:uiPriority w:val="99"/>
    <w:rPr>
      <w:sz w:val="16"/>
      <w:szCs w:val="16"/>
    </w:rPr>
  </w:style>
  <w:style w:type="paragraph" w:styleId="Tekstkomentarza">
    <w:name w:val="annotation text"/>
    <w:basedOn w:val="Normalny"/>
    <w:link w:val="TekstkomentarzaZnak"/>
    <w:uiPriority w:val="99"/>
    <w:rPr>
      <w:sz w:val="20"/>
      <w:lang w:bidi="ar-SA"/>
    </w:rPr>
  </w:style>
  <w:style w:type="paragraph" w:customStyle="1" w:styleId="EMEAEnBodyText">
    <w:name w:val="EMEA En Body Text"/>
    <w:basedOn w:val="Normalny"/>
    <w:pPr>
      <w:tabs>
        <w:tab w:val="clear" w:pos="567"/>
      </w:tabs>
      <w:spacing w:before="120" w:after="120" w:line="240" w:lineRule="auto"/>
      <w:jc w:val="both"/>
    </w:pPr>
  </w:style>
  <w:style w:type="paragraph" w:styleId="Mapadokumentu">
    <w:name w:val="Document Map"/>
    <w:basedOn w:val="Normalny"/>
    <w:semiHidden/>
    <w:pPr>
      <w:shd w:val="clear" w:color="auto" w:fill="000080"/>
    </w:pPr>
    <w:rPr>
      <w:rFonts w:ascii="Tahoma" w:hAnsi="Tahoma" w:cs="Tahoma"/>
    </w:rPr>
  </w:style>
  <w:style w:type="character" w:styleId="Hipercze">
    <w:name w:val="Hyperlink"/>
    <w:rPr>
      <w:color w:val="0000FF"/>
      <w:u w:val="single"/>
    </w:rPr>
  </w:style>
  <w:style w:type="paragraph" w:customStyle="1" w:styleId="AHeader1">
    <w:name w:val="AHeader 1"/>
    <w:basedOn w:val="Normalny"/>
    <w:pPr>
      <w:numPr>
        <w:numId w:val="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Tekstpodstawowywcity3">
    <w:name w:val="Body Text Indent 3"/>
    <w:basedOn w:val="Normalny"/>
    <w:pPr>
      <w:tabs>
        <w:tab w:val="left" w:pos="1134"/>
      </w:tabs>
      <w:autoSpaceDE w:val="0"/>
      <w:autoSpaceDN w:val="0"/>
      <w:adjustRightInd w:val="0"/>
      <w:ind w:left="633"/>
      <w:jc w:val="both"/>
    </w:pPr>
    <w:rPr>
      <w:szCs w:val="21"/>
    </w:rPr>
  </w:style>
  <w:style w:type="character" w:styleId="UyteHipercze">
    <w:name w:val="FollowedHyperlink"/>
    <w:rPr>
      <w:color w:val="800080"/>
      <w:u w:val="single"/>
    </w:rPr>
  </w:style>
  <w:style w:type="paragraph" w:styleId="NormalnyWeb">
    <w:name w:val="Normal (Web)"/>
    <w:basedOn w:val="Normalny"/>
    <w:uiPriority w:val="99"/>
    <w:pPr>
      <w:tabs>
        <w:tab w:val="clear" w:pos="567"/>
      </w:tabs>
      <w:spacing w:before="100" w:beforeAutospacing="1" w:after="100" w:afterAutospacing="1" w:line="240" w:lineRule="auto"/>
    </w:pPr>
    <w:rPr>
      <w:rFonts w:ascii="Arial Unicode MS" w:hAnsi="Arial Unicode MS"/>
      <w:sz w:val="24"/>
      <w:szCs w:val="24"/>
    </w:rPr>
  </w:style>
  <w:style w:type="paragraph" w:styleId="Tekstdymka">
    <w:name w:val="Balloon Text"/>
    <w:basedOn w:val="Normalny"/>
    <w:semiHidden/>
    <w:rPr>
      <w:rFonts w:ascii="Arial" w:hAnsi="Arial" w:cs="Arial"/>
      <w:sz w:val="20"/>
      <w:szCs w:val="16"/>
    </w:rPr>
  </w:style>
  <w:style w:type="paragraph" w:customStyle="1" w:styleId="PIParagraphs">
    <w:name w:val="PI Paragraphs"/>
    <w:basedOn w:val="Normalny"/>
    <w:qFormat/>
    <w:pPr>
      <w:tabs>
        <w:tab w:val="clear" w:pos="567"/>
      </w:tabs>
      <w:autoSpaceDE w:val="0"/>
      <w:autoSpaceDN w:val="0"/>
      <w:adjustRightInd w:val="0"/>
      <w:spacing w:line="360" w:lineRule="auto"/>
      <w:ind w:firstLine="360"/>
    </w:pPr>
    <w:rPr>
      <w:sz w:val="20"/>
    </w:rPr>
  </w:style>
  <w:style w:type="paragraph" w:styleId="Tematkomentarza">
    <w:name w:val="annotation subject"/>
    <w:basedOn w:val="Tekstkomentarza"/>
    <w:next w:val="Tekstkomentarza"/>
    <w:semiHidden/>
    <w:rPr>
      <w:b/>
      <w:bCs/>
    </w:rPr>
  </w:style>
  <w:style w:type="paragraph" w:customStyle="1" w:styleId="ListParagraph1">
    <w:name w:val="List Paragraph1"/>
    <w:basedOn w:val="Normalny"/>
    <w:uiPriority w:val="34"/>
    <w:qFormat/>
    <w:pPr>
      <w:tabs>
        <w:tab w:val="clear" w:pos="567"/>
      </w:tabs>
      <w:spacing w:line="240" w:lineRule="auto"/>
      <w:ind w:left="720"/>
      <w:contextualSpacing/>
    </w:pPr>
    <w:rPr>
      <w:sz w:val="24"/>
      <w:szCs w:val="24"/>
    </w:rPr>
  </w:style>
  <w:style w:type="paragraph" w:customStyle="1" w:styleId="Revision1">
    <w:name w:val="Revision1"/>
    <w:hidden/>
    <w:uiPriority w:val="71"/>
    <w:rPr>
      <w:sz w:val="22"/>
      <w:lang w:val="pl-PL" w:eastAsia="pl-PL" w:bidi="pl-PL"/>
    </w:rPr>
  </w:style>
  <w:style w:type="paragraph" w:customStyle="1" w:styleId="Default">
    <w:name w:val="Default"/>
    <w:pPr>
      <w:widowControl w:val="0"/>
      <w:autoSpaceDE w:val="0"/>
      <w:autoSpaceDN w:val="0"/>
      <w:adjustRightInd w:val="0"/>
    </w:pPr>
    <w:rPr>
      <w:rFonts w:ascii="Arial" w:hAnsi="Arial" w:cs="Arial"/>
      <w:color w:val="000000"/>
      <w:sz w:val="24"/>
      <w:szCs w:val="24"/>
      <w:lang w:val="pl-PL" w:eastAsia="pl-PL" w:bidi="pl-PL"/>
    </w:rPr>
  </w:style>
  <w:style w:type="table" w:styleId="Tabela-Siatka">
    <w:name w:val="Table Grid"/>
    <w:basedOn w:val="Standardowy"/>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rPr>
      <w:rFonts w:ascii="Times New Roman" w:hAnsi="Times New Roman"/>
      <w:sz w:val="24"/>
    </w:rPr>
  </w:style>
  <w:style w:type="character" w:customStyle="1" w:styleId="TekstkomentarzaZnak">
    <w:name w:val="Tekst komentarza Znak"/>
    <w:link w:val="Tekstkomentarza"/>
    <w:uiPriority w:val="99"/>
    <w:rPr>
      <w:lang w:val="pl-PL" w:eastAsia="pl-PL"/>
    </w:rPr>
  </w:style>
  <w:style w:type="paragraph" w:customStyle="1" w:styleId="TableText10">
    <w:name w:val="TableText10"/>
    <w:basedOn w:val="Normalny"/>
    <w:pPr>
      <w:tabs>
        <w:tab w:val="clear" w:pos="567"/>
      </w:tabs>
      <w:spacing w:line="240" w:lineRule="auto"/>
    </w:pPr>
    <w:rPr>
      <w:sz w:val="20"/>
      <w:szCs w:val="24"/>
    </w:rPr>
  </w:style>
  <w:style w:type="paragraph" w:customStyle="1" w:styleId="BodytextAgency">
    <w:name w:val="Body text (Agency)"/>
    <w:basedOn w:val="Normalny"/>
    <w:link w:val="BodytextAgencyTegn"/>
    <w:qFormat/>
    <w:pPr>
      <w:tabs>
        <w:tab w:val="clear" w:pos="567"/>
      </w:tabs>
      <w:spacing w:after="140" w:line="280" w:lineRule="atLeast"/>
    </w:pPr>
    <w:rPr>
      <w:rFonts w:ascii="Verdana" w:eastAsia="Verdana" w:hAnsi="Verdana"/>
      <w:sz w:val="18"/>
      <w:szCs w:val="18"/>
      <w:lang w:bidi="ar-SA"/>
    </w:rPr>
  </w:style>
  <w:style w:type="character" w:customStyle="1" w:styleId="BodytextAgencyTegn">
    <w:name w:val="Body text (Agency) Tegn"/>
    <w:link w:val="BodytextAgency"/>
    <w:rPr>
      <w:rFonts w:ascii="Verdana" w:eastAsia="Verdana" w:hAnsi="Verdana" w:cs="Verdana"/>
      <w:sz w:val="18"/>
      <w:szCs w:val="18"/>
      <w:lang w:val="pl-PL" w:eastAsia="pl-PL"/>
    </w:rPr>
  </w:style>
  <w:style w:type="paragraph" w:customStyle="1" w:styleId="H1">
    <w:name w:val="H1"/>
    <w:basedOn w:val="Normalny"/>
    <w:next w:val="Normalny"/>
    <w:qFormat/>
    <w:pPr>
      <w:numPr>
        <w:numId w:val="9"/>
      </w:numPr>
      <w:tabs>
        <w:tab w:val="clear" w:pos="567"/>
      </w:tabs>
      <w:spacing w:after="200" w:line="276" w:lineRule="auto"/>
      <w:jc w:val="both"/>
      <w:outlineLvl w:val="0"/>
    </w:pPr>
    <w:rPr>
      <w:rFonts w:eastAsia="Calibri"/>
      <w:b/>
      <w:bCs/>
      <w:caps/>
      <w:sz w:val="24"/>
      <w:szCs w:val="24"/>
    </w:rPr>
  </w:style>
  <w:style w:type="paragraph" w:customStyle="1" w:styleId="H2">
    <w:name w:val="H2"/>
    <w:basedOn w:val="Normalny"/>
    <w:next w:val="Normalny"/>
    <w:qFormat/>
    <w:pPr>
      <w:numPr>
        <w:ilvl w:val="1"/>
        <w:numId w:val="9"/>
      </w:numPr>
      <w:tabs>
        <w:tab w:val="clear" w:pos="567"/>
      </w:tabs>
      <w:spacing w:after="200" w:line="276" w:lineRule="auto"/>
      <w:jc w:val="both"/>
      <w:outlineLvl w:val="1"/>
    </w:pPr>
    <w:rPr>
      <w:rFonts w:eastAsia="Calibri"/>
      <w:b/>
      <w:bCs/>
      <w:sz w:val="24"/>
      <w:szCs w:val="24"/>
    </w:rPr>
  </w:style>
  <w:style w:type="paragraph" w:customStyle="1" w:styleId="H3">
    <w:name w:val="H3"/>
    <w:basedOn w:val="H2"/>
    <w:next w:val="Normalny"/>
    <w:qFormat/>
    <w:pPr>
      <w:keepNext/>
      <w:numPr>
        <w:ilvl w:val="2"/>
      </w:numPr>
      <w:outlineLvl w:val="2"/>
    </w:pPr>
  </w:style>
  <w:style w:type="character" w:customStyle="1" w:styleId="NagwekZnak">
    <w:name w:val="Nagłówek Znak"/>
    <w:link w:val="Nagwek"/>
    <w:uiPriority w:val="99"/>
    <w:rPr>
      <w:rFonts w:ascii="Helvetica" w:hAnsi="Helvetica"/>
      <w:lang w:val="pl-PL" w:eastAsia="pl-PL"/>
    </w:rPr>
  </w:style>
  <w:style w:type="character" w:customStyle="1" w:styleId="StopkaZnak">
    <w:name w:val="Stopka Znak"/>
    <w:link w:val="Stopka"/>
    <w:rPr>
      <w:rFonts w:ascii="Helvetica" w:hAnsi="Helvetica"/>
      <w:sz w:val="16"/>
      <w:lang w:val="pl-PL" w:eastAsia="pl-PL"/>
    </w:rPr>
  </w:style>
  <w:style w:type="paragraph" w:customStyle="1" w:styleId="H5">
    <w:name w:val="H5"/>
    <w:basedOn w:val="Normalny"/>
    <w:next w:val="Normalny"/>
    <w:qFormat/>
    <w:pPr>
      <w:numPr>
        <w:ilvl w:val="4"/>
        <w:numId w:val="9"/>
      </w:numPr>
      <w:tabs>
        <w:tab w:val="clear" w:pos="567"/>
      </w:tabs>
      <w:spacing w:after="200" w:line="276" w:lineRule="auto"/>
      <w:jc w:val="both"/>
    </w:pPr>
    <w:rPr>
      <w:rFonts w:eastAsia="Calibri"/>
      <w:b/>
      <w:bCs/>
      <w:sz w:val="24"/>
      <w:szCs w:val="22"/>
    </w:rPr>
  </w:style>
  <w:style w:type="paragraph" w:customStyle="1" w:styleId="H6">
    <w:name w:val="H6"/>
    <w:basedOn w:val="Normalny"/>
    <w:next w:val="Normalny"/>
    <w:qFormat/>
    <w:pPr>
      <w:numPr>
        <w:ilvl w:val="5"/>
        <w:numId w:val="9"/>
      </w:numPr>
      <w:tabs>
        <w:tab w:val="clear" w:pos="567"/>
      </w:tabs>
      <w:spacing w:after="200" w:line="276" w:lineRule="auto"/>
      <w:jc w:val="both"/>
    </w:pPr>
    <w:rPr>
      <w:rFonts w:eastAsia="Calibri"/>
      <w:b/>
      <w:bCs/>
      <w:sz w:val="24"/>
      <w:szCs w:val="22"/>
    </w:rPr>
  </w:style>
  <w:style w:type="paragraph" w:customStyle="1" w:styleId="H7">
    <w:name w:val="H7"/>
    <w:basedOn w:val="H6"/>
    <w:qFormat/>
    <w:pPr>
      <w:numPr>
        <w:ilvl w:val="6"/>
      </w:numPr>
      <w:ind w:left="1418"/>
    </w:pPr>
  </w:style>
  <w:style w:type="character" w:customStyle="1" w:styleId="BodytextAgencyChar">
    <w:name w:val="Body text (Agency) Char"/>
    <w:rPr>
      <w:rFonts w:ascii="Verdana" w:eastAsia="Verdana" w:hAnsi="Verdana"/>
      <w:sz w:val="18"/>
      <w:szCs w:val="18"/>
      <w:lang w:val="pl-PL" w:eastAsia="pl-PL"/>
    </w:rPr>
  </w:style>
  <w:style w:type="paragraph" w:customStyle="1" w:styleId="ColorfulList-Accent11">
    <w:name w:val="Colorful List - Accent 11"/>
    <w:basedOn w:val="Normalny"/>
    <w:uiPriority w:val="99"/>
    <w:qFormat/>
    <w:pPr>
      <w:tabs>
        <w:tab w:val="clear" w:pos="567"/>
      </w:tabs>
      <w:spacing w:line="240" w:lineRule="auto"/>
      <w:ind w:left="720"/>
      <w:contextualSpacing/>
    </w:pPr>
    <w:rPr>
      <w:sz w:val="24"/>
      <w:szCs w:val="24"/>
    </w:rPr>
  </w:style>
  <w:style w:type="character" w:customStyle="1" w:styleId="mention-gloss1">
    <w:name w:val="mention-gloss1"/>
    <w:uiPriority w:val="99"/>
    <w:rPr>
      <w:rFonts w:cs="Times New Roman"/>
    </w:rPr>
  </w:style>
  <w:style w:type="paragraph" w:styleId="Legenda">
    <w:name w:val="caption"/>
    <w:basedOn w:val="Normalny"/>
    <w:next w:val="Normalny"/>
    <w:qFormat/>
    <w:pPr>
      <w:spacing w:after="200" w:line="240" w:lineRule="auto"/>
    </w:pPr>
    <w:rPr>
      <w:b/>
      <w:bCs/>
      <w:color w:val="4F81BD"/>
      <w:sz w:val="18"/>
      <w:szCs w:val="18"/>
    </w:rPr>
  </w:style>
  <w:style w:type="character" w:styleId="Numerwiersza">
    <w:name w:val="line number"/>
    <w:basedOn w:val="Domylnaczcionkaakapitu"/>
    <w:semiHidden/>
    <w:unhideWhenUsed/>
  </w:style>
  <w:style w:type="paragraph" w:customStyle="1" w:styleId="NormalAgency">
    <w:name w:val="Normal (Agency)"/>
    <w:link w:val="NormalAgencyChar"/>
    <w:uiPriority w:val="99"/>
    <w:rPr>
      <w:rFonts w:ascii="Verdana" w:hAnsi="Verdana"/>
      <w:sz w:val="18"/>
      <w:szCs w:val="22"/>
      <w:lang w:eastAsia="en-US"/>
    </w:rPr>
  </w:style>
  <w:style w:type="paragraph" w:customStyle="1" w:styleId="TabletextrowsAgency">
    <w:name w:val="Table text rows (Agency)"/>
    <w:basedOn w:val="Normalny"/>
    <w:uiPriority w:val="99"/>
    <w:pPr>
      <w:tabs>
        <w:tab w:val="clear" w:pos="567"/>
      </w:tabs>
      <w:spacing w:line="280" w:lineRule="exact"/>
    </w:pPr>
    <w:rPr>
      <w:rFonts w:ascii="Verdana" w:hAnsi="Verdana"/>
      <w:sz w:val="18"/>
      <w:lang w:val="en-GB" w:eastAsia="en-US" w:bidi="ar-SA"/>
    </w:rPr>
  </w:style>
  <w:style w:type="character" w:customStyle="1" w:styleId="NormalAgencyChar">
    <w:name w:val="Normal (Agency) Char"/>
    <w:link w:val="NormalAgency"/>
    <w:uiPriority w:val="99"/>
    <w:locked/>
    <w:rPr>
      <w:rFonts w:ascii="Verdana" w:hAnsi="Verdana"/>
      <w:sz w:val="18"/>
      <w:szCs w:val="22"/>
      <w:lang w:val="en-GB" w:eastAsia="en-US" w:bidi="ar-SA"/>
    </w:rPr>
  </w:style>
  <w:style w:type="paragraph" w:customStyle="1" w:styleId="Akapitzlist1">
    <w:name w:val="Akapit z listą1"/>
    <w:basedOn w:val="Normalny"/>
    <w:uiPriority w:val="34"/>
    <w:qFormat/>
    <w:pPr>
      <w:tabs>
        <w:tab w:val="clear" w:pos="567"/>
      </w:tabs>
      <w:spacing w:line="240" w:lineRule="auto"/>
      <w:ind w:left="720"/>
      <w:contextualSpacing/>
    </w:pPr>
    <w:rPr>
      <w:sz w:val="24"/>
      <w:szCs w:val="24"/>
    </w:rPr>
  </w:style>
  <w:style w:type="paragraph" w:customStyle="1" w:styleId="ColorfulShading-Accent11">
    <w:name w:val="Colorful Shading - Accent 11"/>
    <w:hidden/>
    <w:uiPriority w:val="99"/>
    <w:semiHidden/>
    <w:rPr>
      <w:sz w:val="22"/>
      <w:lang w:val="pl-PL" w:eastAsia="pl-PL" w:bidi="pl-PL"/>
    </w:rPr>
  </w:style>
  <w:style w:type="paragraph" w:styleId="Zwykytekst">
    <w:name w:val="Plain Text"/>
    <w:basedOn w:val="Normalny"/>
    <w:link w:val="ZwykytekstZnak"/>
    <w:uiPriority w:val="99"/>
    <w:semiHidden/>
    <w:unhideWhenUsed/>
    <w:pPr>
      <w:tabs>
        <w:tab w:val="clear" w:pos="567"/>
      </w:tabs>
      <w:spacing w:line="240" w:lineRule="auto"/>
    </w:pPr>
    <w:rPr>
      <w:rFonts w:ascii="Consolas" w:hAnsi="Consolas"/>
      <w:sz w:val="21"/>
      <w:szCs w:val="21"/>
      <w:lang w:val="x-none" w:eastAsia="zh-TW" w:bidi="ar-SA"/>
    </w:rPr>
  </w:style>
  <w:style w:type="character" w:customStyle="1" w:styleId="ZwykytekstZnak">
    <w:name w:val="Zwykły tekst Znak"/>
    <w:link w:val="Zwykytekst"/>
    <w:uiPriority w:val="99"/>
    <w:semiHidden/>
    <w:rPr>
      <w:rFonts w:ascii="Consolas" w:hAnsi="Consolas"/>
      <w:sz w:val="21"/>
      <w:szCs w:val="21"/>
      <w:lang w:eastAsia="zh-TW"/>
    </w:rPr>
  </w:style>
  <w:style w:type="paragraph" w:customStyle="1" w:styleId="Revision2">
    <w:name w:val="Revision2"/>
    <w:hidden/>
    <w:uiPriority w:val="71"/>
    <w:rPr>
      <w:sz w:val="22"/>
      <w:lang w:val="pl-PL" w:eastAsia="pl-PL" w:bidi="pl-PL"/>
    </w:rPr>
  </w:style>
  <w:style w:type="paragraph" w:customStyle="1" w:styleId="TitleA">
    <w:name w:val="Title A"/>
    <w:basedOn w:val="Normalny"/>
    <w:qFormat/>
    <w:pPr>
      <w:spacing w:line="240" w:lineRule="auto"/>
      <w:jc w:val="center"/>
      <w:outlineLvl w:val="0"/>
    </w:pPr>
    <w:rPr>
      <w:b/>
    </w:rPr>
  </w:style>
  <w:style w:type="paragraph" w:customStyle="1" w:styleId="TitleB">
    <w:name w:val="Title B"/>
    <w:basedOn w:val="Normalny"/>
    <w:qFormat/>
    <w:pPr>
      <w:spacing w:line="240" w:lineRule="auto"/>
      <w:ind w:left="567" w:hanging="567"/>
    </w:pPr>
    <w:rPr>
      <w:b/>
      <w:noProof/>
      <w:szCs w:val="22"/>
    </w:rPr>
  </w:style>
  <w:style w:type="paragraph" w:customStyle="1" w:styleId="Poprawka1">
    <w:name w:val="Poprawka1"/>
    <w:hidden/>
    <w:uiPriority w:val="99"/>
    <w:semiHidden/>
    <w:rPr>
      <w:sz w:val="22"/>
      <w:lang w:val="pl-PL" w:eastAsia="pl-PL" w:bidi="pl-PL"/>
    </w:rPr>
  </w:style>
  <w:style w:type="paragraph" w:styleId="Poprawka">
    <w:name w:val="Revision"/>
    <w:hidden/>
    <w:uiPriority w:val="99"/>
    <w:semiHidden/>
    <w:rPr>
      <w:sz w:val="22"/>
      <w:lang w:val="pl-PL" w:eastAsia="pl-PL" w:bidi="pl-PL"/>
    </w:rPr>
  </w:style>
  <w:style w:type="paragraph" w:customStyle="1" w:styleId="TableParagraph">
    <w:name w:val="Table Paragraph"/>
    <w:basedOn w:val="Normalny"/>
    <w:uiPriority w:val="1"/>
    <w:qFormat/>
    <w:pPr>
      <w:widowControl w:val="0"/>
      <w:tabs>
        <w:tab w:val="clear" w:pos="567"/>
      </w:tabs>
      <w:autoSpaceDE w:val="0"/>
      <w:autoSpaceDN w:val="0"/>
      <w:spacing w:line="240" w:lineRule="auto"/>
      <w:ind w:left="105"/>
    </w:pPr>
    <w:rPr>
      <w:szCs w:val="22"/>
      <w:lang w:val="en-US" w:eastAsia="en-US" w:bidi="ar-SA"/>
    </w:rPr>
  </w:style>
  <w:style w:type="paragraph" w:styleId="Akapitzlist">
    <w:name w:val="List Paragraph"/>
    <w:basedOn w:val="Normalny"/>
    <w:uiPriority w:val="34"/>
    <w:qFormat/>
    <w:pPr>
      <w:ind w:left="720"/>
      <w:contextualSpacing/>
    </w:pPr>
  </w:style>
  <w:style w:type="character" w:customStyle="1" w:styleId="Menzionenonrisolta1">
    <w:name w:val="Menzione non risolta1"/>
    <w:basedOn w:val="Domylnaczcionkaakapitu"/>
    <w:uiPriority w:val="99"/>
    <w:semiHidden/>
    <w:unhideWhenUsed/>
    <w:rsid w:val="0030084F"/>
    <w:rPr>
      <w:color w:val="605E5C"/>
      <w:shd w:val="clear" w:color="auto" w:fill="E1DFDD"/>
    </w:rPr>
  </w:style>
  <w:style w:type="paragraph" w:customStyle="1" w:styleId="Style2">
    <w:name w:val="Style2"/>
    <w:basedOn w:val="BodytextAgency"/>
    <w:qFormat/>
    <w:rsid w:val="007A27CC"/>
    <w:pPr>
      <w:numPr>
        <w:numId w:val="35"/>
      </w:numPr>
    </w:pPr>
    <w:rPr>
      <w:rFonts w:cs="Verdana"/>
      <w:kern w:val="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7388">
      <w:bodyDiv w:val="1"/>
      <w:marLeft w:val="0"/>
      <w:marRight w:val="0"/>
      <w:marTop w:val="0"/>
      <w:marBottom w:val="0"/>
      <w:divBdr>
        <w:top w:val="none" w:sz="0" w:space="0" w:color="auto"/>
        <w:left w:val="none" w:sz="0" w:space="0" w:color="auto"/>
        <w:bottom w:val="none" w:sz="0" w:space="0" w:color="auto"/>
        <w:right w:val="none" w:sz="0" w:space="0" w:color="auto"/>
      </w:divBdr>
    </w:div>
    <w:div w:id="129179300">
      <w:bodyDiv w:val="1"/>
      <w:marLeft w:val="0"/>
      <w:marRight w:val="0"/>
      <w:marTop w:val="0"/>
      <w:marBottom w:val="0"/>
      <w:divBdr>
        <w:top w:val="none" w:sz="0" w:space="0" w:color="auto"/>
        <w:left w:val="none" w:sz="0" w:space="0" w:color="auto"/>
        <w:bottom w:val="none" w:sz="0" w:space="0" w:color="auto"/>
        <w:right w:val="none" w:sz="0" w:space="0" w:color="auto"/>
      </w:divBdr>
    </w:div>
    <w:div w:id="158235410">
      <w:bodyDiv w:val="1"/>
      <w:marLeft w:val="0"/>
      <w:marRight w:val="0"/>
      <w:marTop w:val="0"/>
      <w:marBottom w:val="0"/>
      <w:divBdr>
        <w:top w:val="none" w:sz="0" w:space="0" w:color="auto"/>
        <w:left w:val="none" w:sz="0" w:space="0" w:color="auto"/>
        <w:bottom w:val="none" w:sz="0" w:space="0" w:color="auto"/>
        <w:right w:val="none" w:sz="0" w:space="0" w:color="auto"/>
      </w:divBdr>
    </w:div>
    <w:div w:id="178011138">
      <w:bodyDiv w:val="1"/>
      <w:marLeft w:val="0"/>
      <w:marRight w:val="0"/>
      <w:marTop w:val="0"/>
      <w:marBottom w:val="0"/>
      <w:divBdr>
        <w:top w:val="none" w:sz="0" w:space="0" w:color="auto"/>
        <w:left w:val="none" w:sz="0" w:space="0" w:color="auto"/>
        <w:bottom w:val="none" w:sz="0" w:space="0" w:color="auto"/>
        <w:right w:val="none" w:sz="0" w:space="0" w:color="auto"/>
      </w:divBdr>
    </w:div>
    <w:div w:id="187178632">
      <w:bodyDiv w:val="1"/>
      <w:marLeft w:val="0"/>
      <w:marRight w:val="0"/>
      <w:marTop w:val="0"/>
      <w:marBottom w:val="0"/>
      <w:divBdr>
        <w:top w:val="none" w:sz="0" w:space="0" w:color="auto"/>
        <w:left w:val="none" w:sz="0" w:space="0" w:color="auto"/>
        <w:bottom w:val="none" w:sz="0" w:space="0" w:color="auto"/>
        <w:right w:val="none" w:sz="0" w:space="0" w:color="auto"/>
      </w:divBdr>
    </w:div>
    <w:div w:id="240876270">
      <w:bodyDiv w:val="1"/>
      <w:marLeft w:val="0"/>
      <w:marRight w:val="0"/>
      <w:marTop w:val="0"/>
      <w:marBottom w:val="0"/>
      <w:divBdr>
        <w:top w:val="none" w:sz="0" w:space="0" w:color="auto"/>
        <w:left w:val="none" w:sz="0" w:space="0" w:color="auto"/>
        <w:bottom w:val="none" w:sz="0" w:space="0" w:color="auto"/>
        <w:right w:val="none" w:sz="0" w:space="0" w:color="auto"/>
      </w:divBdr>
    </w:div>
    <w:div w:id="352800579">
      <w:bodyDiv w:val="1"/>
      <w:marLeft w:val="0"/>
      <w:marRight w:val="0"/>
      <w:marTop w:val="0"/>
      <w:marBottom w:val="0"/>
      <w:divBdr>
        <w:top w:val="none" w:sz="0" w:space="0" w:color="auto"/>
        <w:left w:val="none" w:sz="0" w:space="0" w:color="auto"/>
        <w:bottom w:val="none" w:sz="0" w:space="0" w:color="auto"/>
        <w:right w:val="none" w:sz="0" w:space="0" w:color="auto"/>
      </w:divBdr>
    </w:div>
    <w:div w:id="658272734">
      <w:bodyDiv w:val="1"/>
      <w:marLeft w:val="0"/>
      <w:marRight w:val="0"/>
      <w:marTop w:val="0"/>
      <w:marBottom w:val="0"/>
      <w:divBdr>
        <w:top w:val="none" w:sz="0" w:space="0" w:color="auto"/>
        <w:left w:val="none" w:sz="0" w:space="0" w:color="auto"/>
        <w:bottom w:val="none" w:sz="0" w:space="0" w:color="auto"/>
        <w:right w:val="none" w:sz="0" w:space="0" w:color="auto"/>
      </w:divBdr>
    </w:div>
    <w:div w:id="781655527">
      <w:bodyDiv w:val="1"/>
      <w:marLeft w:val="0"/>
      <w:marRight w:val="0"/>
      <w:marTop w:val="0"/>
      <w:marBottom w:val="0"/>
      <w:divBdr>
        <w:top w:val="none" w:sz="0" w:space="0" w:color="auto"/>
        <w:left w:val="none" w:sz="0" w:space="0" w:color="auto"/>
        <w:bottom w:val="none" w:sz="0" w:space="0" w:color="auto"/>
        <w:right w:val="none" w:sz="0" w:space="0" w:color="auto"/>
      </w:divBdr>
    </w:div>
    <w:div w:id="787507650">
      <w:bodyDiv w:val="1"/>
      <w:marLeft w:val="0"/>
      <w:marRight w:val="0"/>
      <w:marTop w:val="0"/>
      <w:marBottom w:val="0"/>
      <w:divBdr>
        <w:top w:val="none" w:sz="0" w:space="0" w:color="auto"/>
        <w:left w:val="none" w:sz="0" w:space="0" w:color="auto"/>
        <w:bottom w:val="none" w:sz="0" w:space="0" w:color="auto"/>
        <w:right w:val="none" w:sz="0" w:space="0" w:color="auto"/>
      </w:divBdr>
    </w:div>
    <w:div w:id="819998282">
      <w:bodyDiv w:val="1"/>
      <w:marLeft w:val="0"/>
      <w:marRight w:val="0"/>
      <w:marTop w:val="0"/>
      <w:marBottom w:val="0"/>
      <w:divBdr>
        <w:top w:val="none" w:sz="0" w:space="0" w:color="auto"/>
        <w:left w:val="none" w:sz="0" w:space="0" w:color="auto"/>
        <w:bottom w:val="none" w:sz="0" w:space="0" w:color="auto"/>
        <w:right w:val="none" w:sz="0" w:space="0" w:color="auto"/>
      </w:divBdr>
    </w:div>
    <w:div w:id="829178646">
      <w:bodyDiv w:val="1"/>
      <w:marLeft w:val="0"/>
      <w:marRight w:val="0"/>
      <w:marTop w:val="0"/>
      <w:marBottom w:val="0"/>
      <w:divBdr>
        <w:top w:val="none" w:sz="0" w:space="0" w:color="auto"/>
        <w:left w:val="none" w:sz="0" w:space="0" w:color="auto"/>
        <w:bottom w:val="none" w:sz="0" w:space="0" w:color="auto"/>
        <w:right w:val="none" w:sz="0" w:space="0" w:color="auto"/>
      </w:divBdr>
    </w:div>
    <w:div w:id="856843543">
      <w:bodyDiv w:val="1"/>
      <w:marLeft w:val="0"/>
      <w:marRight w:val="0"/>
      <w:marTop w:val="0"/>
      <w:marBottom w:val="0"/>
      <w:divBdr>
        <w:top w:val="none" w:sz="0" w:space="0" w:color="auto"/>
        <w:left w:val="none" w:sz="0" w:space="0" w:color="auto"/>
        <w:bottom w:val="none" w:sz="0" w:space="0" w:color="auto"/>
        <w:right w:val="none" w:sz="0" w:space="0" w:color="auto"/>
      </w:divBdr>
      <w:divsChild>
        <w:div w:id="1795446091">
          <w:marLeft w:val="0"/>
          <w:marRight w:val="0"/>
          <w:marTop w:val="0"/>
          <w:marBottom w:val="0"/>
          <w:divBdr>
            <w:top w:val="none" w:sz="0" w:space="0" w:color="auto"/>
            <w:left w:val="none" w:sz="0" w:space="0" w:color="auto"/>
            <w:bottom w:val="none" w:sz="0" w:space="0" w:color="auto"/>
            <w:right w:val="none" w:sz="0" w:space="0" w:color="auto"/>
          </w:divBdr>
        </w:div>
      </w:divsChild>
    </w:div>
    <w:div w:id="881018536">
      <w:bodyDiv w:val="1"/>
      <w:marLeft w:val="0"/>
      <w:marRight w:val="0"/>
      <w:marTop w:val="0"/>
      <w:marBottom w:val="0"/>
      <w:divBdr>
        <w:top w:val="none" w:sz="0" w:space="0" w:color="auto"/>
        <w:left w:val="none" w:sz="0" w:space="0" w:color="auto"/>
        <w:bottom w:val="none" w:sz="0" w:space="0" w:color="auto"/>
        <w:right w:val="none" w:sz="0" w:space="0" w:color="auto"/>
      </w:divBdr>
    </w:div>
    <w:div w:id="990983875">
      <w:bodyDiv w:val="1"/>
      <w:marLeft w:val="0"/>
      <w:marRight w:val="0"/>
      <w:marTop w:val="0"/>
      <w:marBottom w:val="0"/>
      <w:divBdr>
        <w:top w:val="none" w:sz="0" w:space="0" w:color="auto"/>
        <w:left w:val="none" w:sz="0" w:space="0" w:color="auto"/>
        <w:bottom w:val="none" w:sz="0" w:space="0" w:color="auto"/>
        <w:right w:val="none" w:sz="0" w:space="0" w:color="auto"/>
      </w:divBdr>
    </w:div>
    <w:div w:id="1077941631">
      <w:bodyDiv w:val="1"/>
      <w:marLeft w:val="0"/>
      <w:marRight w:val="0"/>
      <w:marTop w:val="0"/>
      <w:marBottom w:val="0"/>
      <w:divBdr>
        <w:top w:val="none" w:sz="0" w:space="0" w:color="auto"/>
        <w:left w:val="none" w:sz="0" w:space="0" w:color="auto"/>
        <w:bottom w:val="none" w:sz="0" w:space="0" w:color="auto"/>
        <w:right w:val="none" w:sz="0" w:space="0" w:color="auto"/>
      </w:divBdr>
    </w:div>
    <w:div w:id="1161310573">
      <w:bodyDiv w:val="1"/>
      <w:marLeft w:val="0"/>
      <w:marRight w:val="0"/>
      <w:marTop w:val="0"/>
      <w:marBottom w:val="0"/>
      <w:divBdr>
        <w:top w:val="none" w:sz="0" w:space="0" w:color="auto"/>
        <w:left w:val="none" w:sz="0" w:space="0" w:color="auto"/>
        <w:bottom w:val="none" w:sz="0" w:space="0" w:color="auto"/>
        <w:right w:val="none" w:sz="0" w:space="0" w:color="auto"/>
      </w:divBdr>
    </w:div>
    <w:div w:id="1178547293">
      <w:bodyDiv w:val="1"/>
      <w:marLeft w:val="0"/>
      <w:marRight w:val="0"/>
      <w:marTop w:val="0"/>
      <w:marBottom w:val="0"/>
      <w:divBdr>
        <w:top w:val="none" w:sz="0" w:space="0" w:color="auto"/>
        <w:left w:val="none" w:sz="0" w:space="0" w:color="auto"/>
        <w:bottom w:val="none" w:sz="0" w:space="0" w:color="auto"/>
        <w:right w:val="none" w:sz="0" w:space="0" w:color="auto"/>
      </w:divBdr>
    </w:div>
    <w:div w:id="1282228799">
      <w:bodyDiv w:val="1"/>
      <w:marLeft w:val="0"/>
      <w:marRight w:val="0"/>
      <w:marTop w:val="0"/>
      <w:marBottom w:val="0"/>
      <w:divBdr>
        <w:top w:val="none" w:sz="0" w:space="0" w:color="auto"/>
        <w:left w:val="none" w:sz="0" w:space="0" w:color="auto"/>
        <w:bottom w:val="none" w:sz="0" w:space="0" w:color="auto"/>
        <w:right w:val="none" w:sz="0" w:space="0" w:color="auto"/>
      </w:divBdr>
    </w:div>
    <w:div w:id="1511990130">
      <w:bodyDiv w:val="1"/>
      <w:marLeft w:val="0"/>
      <w:marRight w:val="0"/>
      <w:marTop w:val="0"/>
      <w:marBottom w:val="0"/>
      <w:divBdr>
        <w:top w:val="none" w:sz="0" w:space="0" w:color="auto"/>
        <w:left w:val="none" w:sz="0" w:space="0" w:color="auto"/>
        <w:bottom w:val="none" w:sz="0" w:space="0" w:color="auto"/>
        <w:right w:val="none" w:sz="0" w:space="0" w:color="auto"/>
      </w:divBdr>
    </w:div>
    <w:div w:id="1541700867">
      <w:bodyDiv w:val="1"/>
      <w:marLeft w:val="0"/>
      <w:marRight w:val="0"/>
      <w:marTop w:val="0"/>
      <w:marBottom w:val="0"/>
      <w:divBdr>
        <w:top w:val="none" w:sz="0" w:space="0" w:color="auto"/>
        <w:left w:val="none" w:sz="0" w:space="0" w:color="auto"/>
        <w:bottom w:val="none" w:sz="0" w:space="0" w:color="auto"/>
        <w:right w:val="none" w:sz="0" w:space="0" w:color="auto"/>
      </w:divBdr>
    </w:div>
    <w:div w:id="1563373173">
      <w:bodyDiv w:val="1"/>
      <w:marLeft w:val="0"/>
      <w:marRight w:val="0"/>
      <w:marTop w:val="0"/>
      <w:marBottom w:val="0"/>
      <w:divBdr>
        <w:top w:val="none" w:sz="0" w:space="0" w:color="auto"/>
        <w:left w:val="none" w:sz="0" w:space="0" w:color="auto"/>
        <w:bottom w:val="none" w:sz="0" w:space="0" w:color="auto"/>
        <w:right w:val="none" w:sz="0" w:space="0" w:color="auto"/>
      </w:divBdr>
    </w:div>
    <w:div w:id="1644693984">
      <w:bodyDiv w:val="1"/>
      <w:marLeft w:val="0"/>
      <w:marRight w:val="0"/>
      <w:marTop w:val="0"/>
      <w:marBottom w:val="0"/>
      <w:divBdr>
        <w:top w:val="none" w:sz="0" w:space="0" w:color="auto"/>
        <w:left w:val="none" w:sz="0" w:space="0" w:color="auto"/>
        <w:bottom w:val="none" w:sz="0" w:space="0" w:color="auto"/>
        <w:right w:val="none" w:sz="0" w:space="0" w:color="auto"/>
      </w:divBdr>
    </w:div>
    <w:div w:id="1667629794">
      <w:bodyDiv w:val="1"/>
      <w:marLeft w:val="0"/>
      <w:marRight w:val="0"/>
      <w:marTop w:val="0"/>
      <w:marBottom w:val="0"/>
      <w:divBdr>
        <w:top w:val="none" w:sz="0" w:space="0" w:color="auto"/>
        <w:left w:val="none" w:sz="0" w:space="0" w:color="auto"/>
        <w:bottom w:val="none" w:sz="0" w:space="0" w:color="auto"/>
        <w:right w:val="none" w:sz="0" w:space="0" w:color="auto"/>
      </w:divBdr>
    </w:div>
    <w:div w:id="1777368234">
      <w:bodyDiv w:val="1"/>
      <w:marLeft w:val="0"/>
      <w:marRight w:val="0"/>
      <w:marTop w:val="0"/>
      <w:marBottom w:val="0"/>
      <w:divBdr>
        <w:top w:val="none" w:sz="0" w:space="0" w:color="auto"/>
        <w:left w:val="none" w:sz="0" w:space="0" w:color="auto"/>
        <w:bottom w:val="none" w:sz="0" w:space="0" w:color="auto"/>
        <w:right w:val="none" w:sz="0" w:space="0" w:color="auto"/>
      </w:divBdr>
    </w:div>
    <w:div w:id="1831482920">
      <w:bodyDiv w:val="1"/>
      <w:marLeft w:val="0"/>
      <w:marRight w:val="0"/>
      <w:marTop w:val="0"/>
      <w:marBottom w:val="0"/>
      <w:divBdr>
        <w:top w:val="none" w:sz="0" w:space="0" w:color="auto"/>
        <w:left w:val="none" w:sz="0" w:space="0" w:color="auto"/>
        <w:bottom w:val="none" w:sz="0" w:space="0" w:color="auto"/>
        <w:right w:val="none" w:sz="0" w:space="0" w:color="auto"/>
      </w:divBdr>
    </w:div>
    <w:div w:id="1841386725">
      <w:bodyDiv w:val="1"/>
      <w:marLeft w:val="0"/>
      <w:marRight w:val="0"/>
      <w:marTop w:val="0"/>
      <w:marBottom w:val="0"/>
      <w:divBdr>
        <w:top w:val="none" w:sz="0" w:space="0" w:color="auto"/>
        <w:left w:val="none" w:sz="0" w:space="0" w:color="auto"/>
        <w:bottom w:val="none" w:sz="0" w:space="0" w:color="auto"/>
        <w:right w:val="none" w:sz="0" w:space="0" w:color="auto"/>
      </w:divBdr>
    </w:div>
    <w:div w:id="2037999442">
      <w:bodyDiv w:val="1"/>
      <w:marLeft w:val="0"/>
      <w:marRight w:val="0"/>
      <w:marTop w:val="0"/>
      <w:marBottom w:val="0"/>
      <w:divBdr>
        <w:top w:val="none" w:sz="0" w:space="0" w:color="auto"/>
        <w:left w:val="none" w:sz="0" w:space="0" w:color="auto"/>
        <w:bottom w:val="none" w:sz="0" w:space="0" w:color="auto"/>
        <w:right w:val="none" w:sz="0" w:space="0" w:color="auto"/>
      </w:divBdr>
    </w:div>
    <w:div w:id="2089377058">
      <w:bodyDiv w:val="1"/>
      <w:marLeft w:val="0"/>
      <w:marRight w:val="0"/>
      <w:marTop w:val="0"/>
      <w:marBottom w:val="0"/>
      <w:divBdr>
        <w:top w:val="none" w:sz="0" w:space="0" w:color="auto"/>
        <w:left w:val="none" w:sz="0" w:space="0" w:color="auto"/>
        <w:bottom w:val="none" w:sz="0" w:space="0" w:color="auto"/>
        <w:right w:val="none" w:sz="0" w:space="0" w:color="auto"/>
      </w:divBdr>
    </w:div>
    <w:div w:id="2139490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europ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F2CA9-FD92-49FE-9041-B992F9A47201}">
  <ds:schemaRefs>
    <ds:schemaRef ds:uri="http://schemas.openxmlformats.org/officeDocument/2006/bibliography"/>
  </ds:schemaRefs>
</ds:datastoreItem>
</file>

<file path=docMetadata/LabelInfo.xml><?xml version="1.0" encoding="utf-8"?>
<clbl:labelList xmlns:clbl="http://schemas.microsoft.com/office/2020/mipLabelMetadata">
  <clbl:label id="{a72dda32-ee80-4da8-a3ac-ec0e9e41a50a}" enabled="0" method="" siteId="{a72dda32-ee80-4da8-a3ac-ec0e9e41a50a}" removed="1"/>
</clbl:labelList>
</file>

<file path=docProps/app.xml><?xml version="1.0" encoding="utf-8"?>
<Properties xmlns="http://schemas.openxmlformats.org/officeDocument/2006/extended-properties" xmlns:vt="http://schemas.openxmlformats.org/officeDocument/2006/docPropsVTypes">
  <Template>Normal</Template>
  <TotalTime>6</TotalTime>
  <Pages>31</Pages>
  <Words>12074</Words>
  <Characters>82862</Characters>
  <Application>Microsoft Office Word</Application>
  <DocSecurity>0</DocSecurity>
  <Lines>690</Lines>
  <Paragraphs>189</Paragraphs>
  <ScaleCrop>false</ScaleCrop>
  <Company/>
  <LinksUpToDate>false</LinksUpToDate>
  <CharactersWithSpaces>94747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Smyła, Edyta</cp:lastModifiedBy>
  <cp:revision>5</cp:revision>
  <dcterms:created xsi:type="dcterms:W3CDTF">2025-04-17T13:34:00Z</dcterms:created>
  <dcterms:modified xsi:type="dcterms:W3CDTF">2025-05-26T10:26:00Z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a11ca-d417-4147-80ed-01a58412c458_Enabled">
    <vt:lpwstr>true</vt:lpwstr>
  </property>
  <property fmtid="{D5CDD505-2E9C-101B-9397-08002B2CF9AE}" pid="3" name="MSIP_Label_0eea11ca-d417-4147-80ed-01a58412c458_SetDate">
    <vt:lpwstr>2025-04-24T09:22:15Z</vt:lpwstr>
  </property>
  <property fmtid="{D5CDD505-2E9C-101B-9397-08002B2CF9AE}" pid="4" name="MSIP_Label_0eea11ca-d417-4147-80ed-01a58412c458_Method">
    <vt:lpwstr>Standard</vt:lpwstr>
  </property>
  <property fmtid="{D5CDD505-2E9C-101B-9397-08002B2CF9AE}" pid="5" name="MSIP_Label_0eea11ca-d417-4147-80ed-01a58412c458_Name">
    <vt:lpwstr>0eea11ca-d417-4147-80ed-01a58412c458</vt:lpwstr>
  </property>
  <property fmtid="{D5CDD505-2E9C-101B-9397-08002B2CF9AE}" pid="6" name="MSIP_Label_0eea11ca-d417-4147-80ed-01a58412c458_SiteId">
    <vt:lpwstr>bc9dc15c-61bc-4f03-b60b-e5b6d8922839</vt:lpwstr>
  </property>
  <property fmtid="{D5CDD505-2E9C-101B-9397-08002B2CF9AE}" pid="7" name="MSIP_Label_0eea11ca-d417-4147-80ed-01a58412c458_ActionId">
    <vt:lpwstr>e5d3cfdd-90c8-4ad6-a36f-e73f6c01fa62</vt:lpwstr>
  </property>
  <property fmtid="{D5CDD505-2E9C-101B-9397-08002B2CF9AE}" pid="8" name="MSIP_Label_0eea11ca-d417-4147-80ed-01a58412c458_ContentBits">
    <vt:lpwstr>2</vt:lpwstr>
  </property>
  <property fmtid="{D5CDD505-2E9C-101B-9397-08002B2CF9AE}" pid="9" name="MSIP_Label_0eea11ca-d417-4147-80ed-01a58412c458_Tag">
    <vt:lpwstr>10, 3, 0, 1</vt:lpwstr>
  </property>
</Properties>
</file>